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2E717" w14:textId="77777777" w:rsidR="00B44840" w:rsidRPr="000C549E" w:rsidRDefault="007E2F45" w:rsidP="000E7F71">
      <w:pPr>
        <w:spacing w:after="0" w:line="240" w:lineRule="auto"/>
        <w:ind w:left="4536"/>
        <w:jc w:val="both"/>
        <w:rPr>
          <w:rFonts w:ascii="Arial Nova Light" w:eastAsia="Arial Nova" w:hAnsi="Arial Nova Light" w:cs="Arial"/>
          <w:b/>
          <w:sz w:val="24"/>
          <w:szCs w:val="24"/>
        </w:rPr>
      </w:pPr>
      <w:bookmarkStart w:id="0" w:name="_GoBack"/>
      <w:bookmarkEnd w:id="0"/>
      <w:r w:rsidRPr="000C549E">
        <w:rPr>
          <w:rFonts w:ascii="Arial Nova Light" w:eastAsia="Arial Nova" w:hAnsi="Arial Nova Light" w:cs="Arial"/>
          <w:b/>
          <w:sz w:val="24"/>
          <w:szCs w:val="24"/>
        </w:rPr>
        <w:t xml:space="preserve">JUICIO PARA LA PROTECCIÓN DE LOS DERECHOS POLÍTICO-ELECTORALES DEL CIUDADANO. </w:t>
      </w:r>
    </w:p>
    <w:p w14:paraId="33184AE7" w14:textId="77777777" w:rsidR="00B44840" w:rsidRPr="000C549E" w:rsidRDefault="00B44840" w:rsidP="000E7F71">
      <w:pPr>
        <w:spacing w:after="0" w:line="240" w:lineRule="auto"/>
        <w:ind w:left="4536"/>
        <w:jc w:val="both"/>
        <w:rPr>
          <w:rFonts w:ascii="Arial Nova Light" w:eastAsia="Arial Nova" w:hAnsi="Arial Nova Light" w:cs="Arial"/>
          <w:b/>
          <w:sz w:val="24"/>
          <w:szCs w:val="24"/>
        </w:rPr>
      </w:pPr>
    </w:p>
    <w:p w14:paraId="1B64B62D" w14:textId="24455DAE" w:rsidR="00950A13" w:rsidRPr="000C549E" w:rsidRDefault="007E2F45" w:rsidP="000E7F71">
      <w:pPr>
        <w:spacing w:after="0" w:line="240" w:lineRule="auto"/>
        <w:ind w:left="4536"/>
        <w:jc w:val="both"/>
        <w:rPr>
          <w:rFonts w:ascii="Arial Nova Light" w:eastAsia="Arial Nova" w:hAnsi="Arial Nova Light" w:cs="Arial"/>
          <w:sz w:val="24"/>
          <w:szCs w:val="24"/>
        </w:rPr>
      </w:pPr>
      <w:r w:rsidRPr="000C549E">
        <w:rPr>
          <w:rFonts w:ascii="Arial Nova Light" w:eastAsia="Arial Nova" w:hAnsi="Arial Nova Light" w:cs="Arial"/>
          <w:b/>
          <w:sz w:val="24"/>
          <w:szCs w:val="24"/>
        </w:rPr>
        <w:t xml:space="preserve">EXPEDIENTE: </w:t>
      </w:r>
      <w:r w:rsidRPr="000C549E">
        <w:rPr>
          <w:rFonts w:ascii="Arial Nova Light" w:eastAsia="Arial Nova" w:hAnsi="Arial Nova Light" w:cs="Arial"/>
          <w:sz w:val="24"/>
          <w:szCs w:val="24"/>
        </w:rPr>
        <w:t>TEEA-JDC-</w:t>
      </w:r>
      <w:r w:rsidR="00A13195" w:rsidRPr="000C549E">
        <w:rPr>
          <w:rFonts w:ascii="Arial Nova Light" w:eastAsia="Arial Nova" w:hAnsi="Arial Nova Light" w:cs="Arial"/>
          <w:sz w:val="24"/>
          <w:szCs w:val="24"/>
        </w:rPr>
        <w:t>005</w:t>
      </w:r>
      <w:r w:rsidRPr="000C549E">
        <w:rPr>
          <w:rFonts w:ascii="Arial Nova Light" w:eastAsia="Arial Nova" w:hAnsi="Arial Nova Light" w:cs="Arial"/>
          <w:sz w:val="24"/>
          <w:szCs w:val="24"/>
        </w:rPr>
        <w:t>/</w:t>
      </w:r>
      <w:r w:rsidR="00CB6273" w:rsidRPr="000C549E">
        <w:rPr>
          <w:rFonts w:ascii="Arial Nova Light" w:eastAsia="Arial Nova" w:hAnsi="Arial Nova Light" w:cs="Arial"/>
          <w:sz w:val="24"/>
          <w:szCs w:val="24"/>
        </w:rPr>
        <w:t>2022</w:t>
      </w:r>
      <w:r w:rsidRPr="000C549E">
        <w:rPr>
          <w:rFonts w:ascii="Arial Nova Light" w:eastAsia="Arial Nova" w:hAnsi="Arial Nova Light" w:cs="Arial"/>
          <w:sz w:val="24"/>
          <w:szCs w:val="24"/>
        </w:rPr>
        <w:t>.</w:t>
      </w:r>
    </w:p>
    <w:p w14:paraId="45FE5FD3" w14:textId="238AB594" w:rsidR="00B44840" w:rsidRPr="000C549E" w:rsidRDefault="007E2F45" w:rsidP="000E7F71">
      <w:pPr>
        <w:spacing w:after="0" w:line="240" w:lineRule="auto"/>
        <w:ind w:left="4536"/>
        <w:jc w:val="both"/>
        <w:rPr>
          <w:rFonts w:ascii="Arial Nova Light" w:eastAsia="Arial Nova" w:hAnsi="Arial Nova Light" w:cs="Arial"/>
          <w:sz w:val="24"/>
          <w:szCs w:val="24"/>
        </w:rPr>
      </w:pPr>
      <w:r w:rsidRPr="000C549E">
        <w:rPr>
          <w:rFonts w:ascii="Arial Nova Light" w:eastAsia="Arial Nova" w:hAnsi="Arial Nova Light" w:cs="Arial"/>
          <w:sz w:val="24"/>
          <w:szCs w:val="24"/>
        </w:rPr>
        <w:t xml:space="preserve"> </w:t>
      </w:r>
    </w:p>
    <w:p w14:paraId="58AA4E57" w14:textId="6897A127" w:rsidR="00950A13" w:rsidRPr="000C549E" w:rsidRDefault="00950A13" w:rsidP="000E7F71">
      <w:pPr>
        <w:spacing w:after="0" w:line="240" w:lineRule="auto"/>
        <w:ind w:left="4536"/>
        <w:jc w:val="both"/>
        <w:rPr>
          <w:rFonts w:ascii="Arial Nova Light" w:eastAsia="Arial Nova" w:hAnsi="Arial Nova Light" w:cs="Arial"/>
          <w:bCs/>
          <w:sz w:val="24"/>
          <w:szCs w:val="24"/>
        </w:rPr>
      </w:pPr>
      <w:r w:rsidRPr="000C549E">
        <w:rPr>
          <w:rFonts w:ascii="Arial Nova Light" w:eastAsia="Arial Nova" w:hAnsi="Arial Nova Light" w:cs="Arial"/>
          <w:b/>
          <w:sz w:val="24"/>
          <w:szCs w:val="24"/>
        </w:rPr>
        <w:t xml:space="preserve">PROMOVENTE: </w:t>
      </w:r>
      <w:r w:rsidRPr="000C549E">
        <w:rPr>
          <w:rFonts w:ascii="Arial Nova Light" w:eastAsia="Arial Nova" w:hAnsi="Arial Nova Light" w:cs="Arial"/>
          <w:bCs/>
          <w:sz w:val="24"/>
          <w:szCs w:val="24"/>
        </w:rPr>
        <w:t xml:space="preserve">C. </w:t>
      </w:r>
      <w:r w:rsidR="00EA65B8" w:rsidRPr="000C549E">
        <w:rPr>
          <w:rFonts w:ascii="Arial Nova Light" w:eastAsia="Arial Nova" w:hAnsi="Arial Nova Light" w:cs="Arial"/>
          <w:bCs/>
          <w:sz w:val="24"/>
          <w:szCs w:val="24"/>
        </w:rPr>
        <w:t>Antonio Luna Cervantes</w:t>
      </w:r>
      <w:r w:rsidR="003E6A01" w:rsidRPr="000C549E">
        <w:rPr>
          <w:rFonts w:ascii="Arial Nova Light" w:eastAsia="Arial Nova" w:hAnsi="Arial Nova Light" w:cs="Arial"/>
          <w:bCs/>
          <w:sz w:val="24"/>
          <w:szCs w:val="24"/>
        </w:rPr>
        <w:t xml:space="preserve">. </w:t>
      </w:r>
      <w:r w:rsidRPr="000C549E">
        <w:rPr>
          <w:rFonts w:ascii="Arial Nova Light" w:eastAsia="Arial Nova" w:hAnsi="Arial Nova Light" w:cs="Arial"/>
          <w:bCs/>
          <w:sz w:val="24"/>
          <w:szCs w:val="24"/>
        </w:rPr>
        <w:t xml:space="preserve"> </w:t>
      </w:r>
    </w:p>
    <w:p w14:paraId="7B0BBC77" w14:textId="0C4A2CC1" w:rsidR="00950A13" w:rsidRPr="000C549E" w:rsidRDefault="00950A13" w:rsidP="000E7F71">
      <w:pPr>
        <w:spacing w:after="0" w:line="240" w:lineRule="auto"/>
        <w:ind w:left="4536"/>
        <w:jc w:val="both"/>
        <w:rPr>
          <w:rFonts w:ascii="Arial Nova Light" w:eastAsia="Arial Nova" w:hAnsi="Arial Nova Light" w:cs="Arial"/>
          <w:bCs/>
          <w:sz w:val="24"/>
          <w:szCs w:val="24"/>
        </w:rPr>
      </w:pPr>
    </w:p>
    <w:p w14:paraId="14A3948C" w14:textId="78CDF41C" w:rsidR="00950A13" w:rsidRPr="000C549E" w:rsidRDefault="00950A13" w:rsidP="000E7F71">
      <w:pPr>
        <w:spacing w:after="0" w:line="240" w:lineRule="auto"/>
        <w:ind w:left="4536"/>
        <w:jc w:val="both"/>
        <w:rPr>
          <w:rFonts w:ascii="Arial Nova Light" w:eastAsia="Arial Nova" w:hAnsi="Arial Nova Light" w:cs="Arial"/>
          <w:bCs/>
          <w:sz w:val="24"/>
          <w:szCs w:val="24"/>
        </w:rPr>
      </w:pPr>
      <w:r w:rsidRPr="000C549E">
        <w:rPr>
          <w:rFonts w:ascii="Arial Nova Light" w:eastAsia="Arial Nova" w:hAnsi="Arial Nova Light" w:cs="Arial"/>
          <w:b/>
          <w:sz w:val="24"/>
          <w:szCs w:val="24"/>
        </w:rPr>
        <w:t xml:space="preserve">Autoridad Responsable: </w:t>
      </w:r>
      <w:r w:rsidRPr="000C549E">
        <w:rPr>
          <w:rFonts w:ascii="Arial Nova Light" w:eastAsia="Arial Nova" w:hAnsi="Arial Nova Light" w:cs="Arial"/>
          <w:bCs/>
          <w:sz w:val="24"/>
          <w:szCs w:val="24"/>
        </w:rPr>
        <w:t>Consejo General del Instituto Estatal Electoral de Aguascalientes.</w:t>
      </w:r>
    </w:p>
    <w:p w14:paraId="4AAF0EAC" w14:textId="77777777" w:rsidR="00B44840" w:rsidRPr="000C549E" w:rsidRDefault="00B44840" w:rsidP="000E7F71">
      <w:pPr>
        <w:spacing w:after="0" w:line="240" w:lineRule="auto"/>
        <w:ind w:left="4536"/>
        <w:jc w:val="both"/>
        <w:rPr>
          <w:rFonts w:ascii="Arial Nova Light" w:eastAsia="Arial Nova" w:hAnsi="Arial Nova Light" w:cs="Arial"/>
          <w:b/>
          <w:sz w:val="24"/>
          <w:szCs w:val="24"/>
        </w:rPr>
      </w:pPr>
    </w:p>
    <w:p w14:paraId="38D2C157" w14:textId="65EEAB51" w:rsidR="00B44840" w:rsidRPr="000C549E" w:rsidRDefault="007E2F45" w:rsidP="000E7F71">
      <w:pPr>
        <w:spacing w:after="0" w:line="360" w:lineRule="auto"/>
        <w:ind w:left="4536"/>
        <w:jc w:val="both"/>
        <w:rPr>
          <w:rFonts w:ascii="Arial Nova Light" w:eastAsia="Arial Nova" w:hAnsi="Arial Nova Light" w:cs="Arial"/>
          <w:sz w:val="24"/>
          <w:szCs w:val="24"/>
        </w:rPr>
      </w:pPr>
      <w:r w:rsidRPr="000C549E">
        <w:rPr>
          <w:rFonts w:ascii="Arial Nova Light" w:eastAsia="Arial Nova" w:hAnsi="Arial Nova Light" w:cs="Arial"/>
          <w:b/>
          <w:sz w:val="24"/>
          <w:szCs w:val="24"/>
        </w:rPr>
        <w:t xml:space="preserve">MAGISTRADA PONENTE: </w:t>
      </w:r>
      <w:r w:rsidRPr="000C549E">
        <w:rPr>
          <w:rFonts w:ascii="Arial Nova Light" w:eastAsia="Arial Nova" w:hAnsi="Arial Nova Light" w:cs="Arial"/>
          <w:sz w:val="24"/>
          <w:szCs w:val="24"/>
        </w:rPr>
        <w:t xml:space="preserve">Claudia Eloisa Díaz de León González.  </w:t>
      </w:r>
    </w:p>
    <w:p w14:paraId="213F4BB3" w14:textId="49FBBF14" w:rsidR="00F717E5" w:rsidRPr="000C549E" w:rsidRDefault="00F717E5" w:rsidP="00F717E5">
      <w:pPr>
        <w:ind w:left="4536" w:right="36"/>
        <w:jc w:val="both"/>
        <w:rPr>
          <w:rFonts w:ascii="Arial Nova Light" w:eastAsia="Arial Nova" w:hAnsi="Arial Nova Light" w:cs="Arial Nova"/>
          <w:sz w:val="24"/>
          <w:szCs w:val="24"/>
        </w:rPr>
      </w:pPr>
      <w:r w:rsidRPr="000C549E">
        <w:rPr>
          <w:rFonts w:ascii="Arial Nova Light" w:eastAsia="Arial Nova" w:hAnsi="Arial Nova Light" w:cs="Arial Nova"/>
          <w:b/>
          <w:sz w:val="24"/>
          <w:szCs w:val="24"/>
        </w:rPr>
        <w:t xml:space="preserve">SECRETARIO DE ESTUDIO: </w:t>
      </w:r>
      <w:r w:rsidRPr="000C549E">
        <w:rPr>
          <w:rFonts w:ascii="Arial Nova Light" w:eastAsia="Arial Nova" w:hAnsi="Arial Nova Light" w:cs="Arial Nova"/>
          <w:sz w:val="24"/>
          <w:szCs w:val="24"/>
        </w:rPr>
        <w:t>Néstor Enrique Rivera López.</w:t>
      </w:r>
    </w:p>
    <w:p w14:paraId="7D3CC8F7" w14:textId="0262C965" w:rsidR="00B44840" w:rsidRPr="000C549E" w:rsidRDefault="007E2F45" w:rsidP="00634F51">
      <w:pPr>
        <w:pBdr>
          <w:top w:val="nil"/>
          <w:left w:val="nil"/>
          <w:bottom w:val="nil"/>
          <w:right w:val="nil"/>
          <w:between w:val="nil"/>
        </w:pBdr>
        <w:spacing w:after="0" w:line="360" w:lineRule="auto"/>
        <w:ind w:firstLine="708"/>
        <w:jc w:val="right"/>
        <w:rPr>
          <w:rFonts w:ascii="Arial Nova Light" w:eastAsia="Arial Nova" w:hAnsi="Arial Nova Light" w:cs="Arial"/>
          <w:sz w:val="24"/>
          <w:szCs w:val="24"/>
        </w:rPr>
      </w:pPr>
      <w:bookmarkStart w:id="1" w:name="_gjdgxs" w:colFirst="0" w:colLast="0"/>
      <w:bookmarkEnd w:id="1"/>
      <w:r w:rsidRPr="000C549E">
        <w:rPr>
          <w:rFonts w:ascii="Arial Nova Light" w:eastAsia="Arial Nova" w:hAnsi="Arial Nova Light" w:cs="Arial"/>
          <w:sz w:val="24"/>
          <w:szCs w:val="24"/>
        </w:rPr>
        <w:t xml:space="preserve">Aguascalientes, Aguascalientes, a </w:t>
      </w:r>
      <w:r w:rsidR="000C549E">
        <w:rPr>
          <w:rFonts w:ascii="Arial Nova Light" w:eastAsia="Arial Nova" w:hAnsi="Arial Nova Light" w:cs="Arial"/>
          <w:sz w:val="24"/>
          <w:szCs w:val="24"/>
        </w:rPr>
        <w:t>veinte</w:t>
      </w:r>
      <w:r w:rsidR="005B6952" w:rsidRPr="000C549E">
        <w:rPr>
          <w:rFonts w:ascii="Arial Nova Light" w:eastAsia="Arial Nova" w:hAnsi="Arial Nova Light" w:cs="Arial"/>
          <w:sz w:val="24"/>
          <w:szCs w:val="24"/>
        </w:rPr>
        <w:t xml:space="preserve"> de </w:t>
      </w:r>
      <w:r w:rsidR="00683B11" w:rsidRPr="000C549E">
        <w:rPr>
          <w:rFonts w:ascii="Arial Nova Light" w:eastAsia="Arial Nova" w:hAnsi="Arial Nova Light" w:cs="Arial"/>
          <w:sz w:val="24"/>
          <w:szCs w:val="24"/>
        </w:rPr>
        <w:t>enero</w:t>
      </w:r>
      <w:r w:rsidR="005B6952" w:rsidRPr="000C549E">
        <w:rPr>
          <w:rFonts w:ascii="Arial Nova Light" w:eastAsia="Arial Nova" w:hAnsi="Arial Nova Light" w:cs="Arial"/>
          <w:sz w:val="24"/>
          <w:szCs w:val="24"/>
        </w:rPr>
        <w:t xml:space="preserve"> de dos mil </w:t>
      </w:r>
      <w:r w:rsidR="00683B11" w:rsidRPr="000C549E">
        <w:rPr>
          <w:rFonts w:ascii="Arial Nova Light" w:eastAsia="Arial Nova" w:hAnsi="Arial Nova Light" w:cs="Arial"/>
          <w:sz w:val="24"/>
          <w:szCs w:val="24"/>
        </w:rPr>
        <w:t>veintidós</w:t>
      </w:r>
      <w:r w:rsidRPr="000C549E">
        <w:rPr>
          <w:rFonts w:ascii="Arial Nova Light" w:eastAsia="Arial Nova" w:hAnsi="Arial Nova Light" w:cs="Arial"/>
          <w:sz w:val="24"/>
          <w:szCs w:val="24"/>
        </w:rPr>
        <w:t>.</w:t>
      </w:r>
    </w:p>
    <w:p w14:paraId="1FF6B108" w14:textId="77777777" w:rsidR="00B44840" w:rsidRPr="000C549E" w:rsidRDefault="00B44840">
      <w:pPr>
        <w:pBdr>
          <w:top w:val="nil"/>
          <w:left w:val="nil"/>
          <w:bottom w:val="nil"/>
          <w:right w:val="nil"/>
          <w:between w:val="nil"/>
        </w:pBdr>
        <w:spacing w:after="0" w:line="360" w:lineRule="auto"/>
        <w:jc w:val="both"/>
        <w:rPr>
          <w:rFonts w:ascii="Arial Nova Light" w:eastAsia="Arial Nova" w:hAnsi="Arial Nova Light" w:cs="Arial"/>
          <w:sz w:val="24"/>
          <w:szCs w:val="24"/>
        </w:rPr>
      </w:pPr>
    </w:p>
    <w:p w14:paraId="56ED1826" w14:textId="71F615CB" w:rsidR="00A10D38" w:rsidRPr="000C549E" w:rsidRDefault="0061181B" w:rsidP="00A10D38">
      <w:pPr>
        <w:pStyle w:val="Prrafodelista"/>
        <w:tabs>
          <w:tab w:val="left" w:pos="284"/>
        </w:tabs>
        <w:spacing w:line="360" w:lineRule="auto"/>
        <w:ind w:left="0"/>
        <w:jc w:val="both"/>
        <w:rPr>
          <w:rFonts w:ascii="Arial Nova Light" w:hAnsi="Arial Nova Light" w:cs="Arial"/>
          <w:i/>
          <w:iCs/>
          <w:sz w:val="24"/>
          <w:szCs w:val="24"/>
        </w:rPr>
      </w:pPr>
      <w:r w:rsidRPr="000C549E">
        <w:rPr>
          <w:rFonts w:ascii="Arial Nova Light" w:eastAsia="Arial Nova" w:hAnsi="Arial Nova Light" w:cs="Arial"/>
          <w:b/>
          <w:bCs/>
          <w:sz w:val="24"/>
          <w:szCs w:val="24"/>
        </w:rPr>
        <w:t>Sentencia definitiva</w:t>
      </w:r>
      <w:r w:rsidR="007E2F45" w:rsidRPr="000C549E">
        <w:rPr>
          <w:rFonts w:ascii="Arial Nova Light" w:eastAsia="Arial Nova" w:hAnsi="Arial Nova Light" w:cs="Arial"/>
          <w:sz w:val="24"/>
          <w:szCs w:val="24"/>
        </w:rPr>
        <w:t xml:space="preserve"> que </w:t>
      </w:r>
      <w:r w:rsidR="007E2F45" w:rsidRPr="000C549E">
        <w:rPr>
          <w:rFonts w:ascii="Arial Nova Light" w:eastAsia="Arial Nova" w:hAnsi="Arial Nova Light" w:cs="Arial"/>
          <w:b/>
          <w:sz w:val="24"/>
          <w:szCs w:val="24"/>
        </w:rPr>
        <w:t xml:space="preserve">desecha </w:t>
      </w:r>
      <w:r w:rsidR="007E2F45" w:rsidRPr="000C549E">
        <w:rPr>
          <w:rFonts w:ascii="Arial Nova Light" w:eastAsia="Arial Nova" w:hAnsi="Arial Nova Light" w:cs="Arial"/>
          <w:sz w:val="24"/>
          <w:szCs w:val="24"/>
        </w:rPr>
        <w:t xml:space="preserve">por improcedente la demanda del Juicio para la Protección de los Derechos Político-Electorales del Ciudadano promovido por el C. </w:t>
      </w:r>
      <w:r w:rsidR="00AE41A3" w:rsidRPr="000C549E">
        <w:rPr>
          <w:rFonts w:ascii="Arial Nova Light" w:eastAsia="Arial Nova" w:hAnsi="Arial Nova Light" w:cs="Arial"/>
          <w:sz w:val="24"/>
          <w:szCs w:val="24"/>
        </w:rPr>
        <w:t>Antonio Luna Cervantes</w:t>
      </w:r>
      <w:r w:rsidR="007E2F45" w:rsidRPr="000C549E">
        <w:rPr>
          <w:rFonts w:ascii="Arial Nova Light" w:eastAsia="Arial Nova" w:hAnsi="Arial Nova Light" w:cs="Arial"/>
          <w:sz w:val="24"/>
          <w:szCs w:val="24"/>
        </w:rPr>
        <w:t xml:space="preserve">, </w:t>
      </w:r>
      <w:r w:rsidR="00E95A6E" w:rsidRPr="000C549E">
        <w:rPr>
          <w:rFonts w:ascii="Arial Nova Light" w:eastAsia="Arial Nova" w:hAnsi="Arial Nova Light" w:cs="Arial"/>
          <w:sz w:val="24"/>
          <w:szCs w:val="24"/>
        </w:rPr>
        <w:t xml:space="preserve">en la que impugna </w:t>
      </w:r>
      <w:r w:rsidR="000F3616" w:rsidRPr="000C549E">
        <w:rPr>
          <w:rFonts w:ascii="Arial Nova Light" w:eastAsia="Arial Nova" w:hAnsi="Arial Nova Light" w:cs="Arial"/>
          <w:sz w:val="24"/>
          <w:szCs w:val="24"/>
        </w:rPr>
        <w:t>la resolución del Consejo General del Instituto Estatal Electoral identificada con la clave CG-R-</w:t>
      </w:r>
      <w:r w:rsidR="008344E1" w:rsidRPr="000C549E">
        <w:rPr>
          <w:rFonts w:ascii="Arial Nova Light" w:eastAsia="Arial Nova" w:hAnsi="Arial Nova Light" w:cs="Arial"/>
          <w:sz w:val="24"/>
          <w:szCs w:val="24"/>
        </w:rPr>
        <w:t>02</w:t>
      </w:r>
      <w:r w:rsidR="000F3616" w:rsidRPr="000C549E">
        <w:rPr>
          <w:rFonts w:ascii="Arial Nova Light" w:eastAsia="Arial Nova" w:hAnsi="Arial Nova Light" w:cs="Arial"/>
          <w:sz w:val="24"/>
          <w:szCs w:val="24"/>
        </w:rPr>
        <w:t>/</w:t>
      </w:r>
      <w:r w:rsidR="008344E1" w:rsidRPr="000C549E">
        <w:rPr>
          <w:rFonts w:ascii="Arial Nova Light" w:eastAsia="Arial Nova" w:hAnsi="Arial Nova Light" w:cs="Arial"/>
          <w:sz w:val="24"/>
          <w:szCs w:val="24"/>
        </w:rPr>
        <w:t>22</w:t>
      </w:r>
      <w:r w:rsidR="000F3616" w:rsidRPr="000C549E">
        <w:rPr>
          <w:rFonts w:ascii="Arial Nova Light" w:eastAsia="Arial Nova" w:hAnsi="Arial Nova Light" w:cs="Arial"/>
          <w:sz w:val="24"/>
          <w:szCs w:val="24"/>
        </w:rPr>
        <w:t xml:space="preserve">, </w:t>
      </w:r>
      <w:r w:rsidR="00A10D38" w:rsidRPr="000C549E">
        <w:rPr>
          <w:rFonts w:ascii="Arial Nova Light" w:eastAsia="Arial Nova" w:hAnsi="Arial Nova Light" w:cs="Arial"/>
          <w:i/>
          <w:iCs/>
          <w:sz w:val="24"/>
          <w:szCs w:val="24"/>
        </w:rPr>
        <w:t>m</w:t>
      </w:r>
      <w:r w:rsidR="00A10D38" w:rsidRPr="000C549E">
        <w:rPr>
          <w:rFonts w:ascii="Arial Nova Light" w:hAnsi="Arial Nova Light" w:cs="Arial"/>
          <w:i/>
          <w:iCs/>
          <w:sz w:val="24"/>
          <w:szCs w:val="24"/>
        </w:rPr>
        <w:t xml:space="preserve">ediante el cual se determina respecto del registro condicionado como aspirante a una candidatura independiente otorgado por este Consejo General al C. Eric Monroy Sánchez en la resolución con clave CG-R-87/21, en cumplimiento a la sentencia emitida por el Tribunal Electoral del Estado de Aguascalientes, dentro del expediente TEEA-JDC-152/2021. </w:t>
      </w:r>
    </w:p>
    <w:p w14:paraId="55F238C7" w14:textId="099D2155" w:rsidR="00B44840" w:rsidRPr="000C549E" w:rsidRDefault="0007662D">
      <w:pPr>
        <w:pBdr>
          <w:top w:val="nil"/>
          <w:left w:val="nil"/>
          <w:bottom w:val="nil"/>
          <w:right w:val="nil"/>
          <w:between w:val="nil"/>
        </w:pBdr>
        <w:spacing w:after="0" w:line="360" w:lineRule="auto"/>
        <w:jc w:val="both"/>
        <w:rPr>
          <w:rFonts w:ascii="Arial Nova Light" w:eastAsia="Arial Nova" w:hAnsi="Arial Nova Light" w:cs="Arial"/>
          <w:i/>
          <w:iCs/>
          <w:sz w:val="24"/>
          <w:szCs w:val="24"/>
        </w:rPr>
      </w:pPr>
      <w:r w:rsidRPr="000C549E">
        <w:rPr>
          <w:rFonts w:ascii="Arial Nova Light" w:hAnsi="Arial Nova Light"/>
          <w:i/>
          <w:iCs/>
          <w:sz w:val="24"/>
          <w:szCs w:val="24"/>
          <w:shd w:val="clear" w:color="auto" w:fill="FFFFFF"/>
        </w:rPr>
        <w:t xml:space="preserve"> </w:t>
      </w:r>
      <w:r w:rsidR="00C06136" w:rsidRPr="000C549E">
        <w:rPr>
          <w:rFonts w:ascii="Arial Nova Light" w:eastAsia="Arial Nova" w:hAnsi="Arial Nova Light" w:cs="Arial"/>
          <w:i/>
          <w:iCs/>
          <w:sz w:val="24"/>
          <w:szCs w:val="24"/>
        </w:rPr>
        <w:t xml:space="preserve"> </w:t>
      </w:r>
    </w:p>
    <w:p w14:paraId="4878FEF6" w14:textId="77777777" w:rsidR="00B44840" w:rsidRPr="000C549E" w:rsidRDefault="007E2F45">
      <w:pPr>
        <w:pBdr>
          <w:top w:val="nil"/>
          <w:left w:val="nil"/>
          <w:bottom w:val="nil"/>
          <w:right w:val="nil"/>
          <w:between w:val="nil"/>
        </w:pBdr>
        <w:spacing w:after="0" w:line="240" w:lineRule="auto"/>
        <w:jc w:val="both"/>
        <w:rPr>
          <w:rFonts w:ascii="Arial Nova Light" w:eastAsia="Arial Nova" w:hAnsi="Arial Nova Light" w:cs="Arial"/>
          <w:i/>
          <w:iCs/>
          <w:sz w:val="24"/>
          <w:szCs w:val="24"/>
        </w:rPr>
      </w:pPr>
      <w:r w:rsidRPr="000C549E">
        <w:rPr>
          <w:rFonts w:ascii="Arial Nova Light" w:eastAsia="Arial Nova" w:hAnsi="Arial Nova Light" w:cs="Arial"/>
          <w:i/>
          <w:iCs/>
          <w:sz w:val="24"/>
          <w:szCs w:val="24"/>
        </w:rPr>
        <w:t xml:space="preserve"> </w:t>
      </w:r>
    </w:p>
    <w:p w14:paraId="64DA06F2" w14:textId="77777777" w:rsidR="00B44840" w:rsidRPr="000C549E" w:rsidRDefault="007E2F45">
      <w:pPr>
        <w:pBdr>
          <w:top w:val="nil"/>
          <w:left w:val="nil"/>
          <w:bottom w:val="nil"/>
          <w:right w:val="nil"/>
          <w:between w:val="nil"/>
        </w:pBdr>
        <w:spacing w:after="0" w:line="240" w:lineRule="auto"/>
        <w:jc w:val="center"/>
        <w:rPr>
          <w:rFonts w:ascii="Arial Nova Light" w:eastAsia="Arial Nova" w:hAnsi="Arial Nova Light" w:cs="Arial"/>
          <w:b/>
          <w:sz w:val="24"/>
          <w:szCs w:val="24"/>
        </w:rPr>
      </w:pPr>
      <w:r w:rsidRPr="000C549E">
        <w:rPr>
          <w:rFonts w:ascii="Arial Nova Light" w:eastAsia="Arial Nova" w:hAnsi="Arial Nova Light" w:cs="Arial"/>
          <w:b/>
          <w:sz w:val="24"/>
          <w:szCs w:val="24"/>
        </w:rPr>
        <w:t>GLOSARIO</w:t>
      </w:r>
    </w:p>
    <w:tbl>
      <w:tblPr>
        <w:tblStyle w:val="a"/>
        <w:tblW w:w="82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5812"/>
      </w:tblGrid>
      <w:tr w:rsidR="000C549E" w:rsidRPr="000C549E" w14:paraId="77B04FFE" w14:textId="77777777">
        <w:trPr>
          <w:jc w:val="center"/>
        </w:trPr>
        <w:tc>
          <w:tcPr>
            <w:tcW w:w="2405" w:type="dxa"/>
          </w:tcPr>
          <w:p w14:paraId="1B495B1E" w14:textId="77777777" w:rsidR="00B44840" w:rsidRPr="000C549E" w:rsidRDefault="007E2F45" w:rsidP="00A10D38">
            <w:pPr>
              <w:pBdr>
                <w:top w:val="nil"/>
                <w:left w:val="nil"/>
                <w:bottom w:val="nil"/>
                <w:right w:val="nil"/>
                <w:between w:val="nil"/>
              </w:pBdr>
              <w:jc w:val="right"/>
              <w:rPr>
                <w:rFonts w:ascii="Arial Nova Light" w:eastAsia="Arial Nova" w:hAnsi="Arial Nova Light" w:cs="Arial"/>
                <w:b/>
                <w:sz w:val="20"/>
                <w:szCs w:val="20"/>
              </w:rPr>
            </w:pPr>
            <w:r w:rsidRPr="000C549E">
              <w:rPr>
                <w:rFonts w:ascii="Arial Nova Light" w:eastAsia="Arial Nova" w:hAnsi="Arial Nova Light" w:cs="Arial"/>
                <w:b/>
                <w:sz w:val="20"/>
                <w:szCs w:val="20"/>
              </w:rPr>
              <w:t xml:space="preserve">Promovente: </w:t>
            </w:r>
          </w:p>
        </w:tc>
        <w:tc>
          <w:tcPr>
            <w:tcW w:w="5812" w:type="dxa"/>
          </w:tcPr>
          <w:p w14:paraId="68394245" w14:textId="683AD4B6" w:rsidR="00B44840" w:rsidRPr="000C549E" w:rsidRDefault="00A10D38">
            <w:pPr>
              <w:pBdr>
                <w:top w:val="nil"/>
                <w:left w:val="nil"/>
                <w:bottom w:val="nil"/>
                <w:right w:val="nil"/>
                <w:between w:val="nil"/>
              </w:pBdr>
              <w:jc w:val="both"/>
              <w:rPr>
                <w:rFonts w:ascii="Arial Nova Light" w:eastAsia="Arial Nova" w:hAnsi="Arial Nova Light" w:cs="Arial"/>
                <w:sz w:val="20"/>
                <w:szCs w:val="20"/>
              </w:rPr>
            </w:pPr>
            <w:r w:rsidRPr="000C549E">
              <w:rPr>
                <w:rFonts w:ascii="Arial Nova Light" w:eastAsia="Arial Nova" w:hAnsi="Arial Nova Light" w:cs="Arial"/>
                <w:sz w:val="20"/>
                <w:szCs w:val="20"/>
              </w:rPr>
              <w:t>Antonio Luna Cervantes</w:t>
            </w:r>
            <w:r w:rsidR="007E2F45" w:rsidRPr="000C549E">
              <w:rPr>
                <w:rFonts w:ascii="Arial Nova Light" w:eastAsia="Arial Nova" w:hAnsi="Arial Nova Light" w:cs="Arial"/>
                <w:sz w:val="20"/>
                <w:szCs w:val="20"/>
              </w:rPr>
              <w:t>.</w:t>
            </w:r>
          </w:p>
        </w:tc>
      </w:tr>
      <w:tr w:rsidR="000C549E" w:rsidRPr="000C549E" w14:paraId="6BED465E" w14:textId="77777777">
        <w:trPr>
          <w:jc w:val="center"/>
        </w:trPr>
        <w:tc>
          <w:tcPr>
            <w:tcW w:w="2405" w:type="dxa"/>
          </w:tcPr>
          <w:p w14:paraId="41F9B7F0" w14:textId="77777777" w:rsidR="00B44840" w:rsidRPr="000C549E" w:rsidRDefault="007E2F45" w:rsidP="00A10D38">
            <w:pPr>
              <w:pBdr>
                <w:top w:val="nil"/>
                <w:left w:val="nil"/>
                <w:bottom w:val="nil"/>
                <w:right w:val="nil"/>
                <w:between w:val="nil"/>
              </w:pBdr>
              <w:jc w:val="right"/>
              <w:rPr>
                <w:rFonts w:ascii="Arial Nova Light" w:eastAsia="Arial Nova" w:hAnsi="Arial Nova Light" w:cs="Arial"/>
                <w:b/>
                <w:sz w:val="20"/>
                <w:szCs w:val="20"/>
              </w:rPr>
            </w:pPr>
            <w:r w:rsidRPr="000C549E">
              <w:rPr>
                <w:rFonts w:ascii="Arial Nova Light" w:eastAsia="Arial Nova" w:hAnsi="Arial Nova Light" w:cs="Arial"/>
                <w:b/>
                <w:sz w:val="20"/>
                <w:szCs w:val="20"/>
              </w:rPr>
              <w:t>Autoridad Responsable:</w:t>
            </w:r>
          </w:p>
        </w:tc>
        <w:tc>
          <w:tcPr>
            <w:tcW w:w="5812" w:type="dxa"/>
          </w:tcPr>
          <w:p w14:paraId="241244FC" w14:textId="77777777" w:rsidR="00B44840" w:rsidRPr="000C549E" w:rsidRDefault="007E2F45">
            <w:pPr>
              <w:pBdr>
                <w:top w:val="nil"/>
                <w:left w:val="nil"/>
                <w:bottom w:val="nil"/>
                <w:right w:val="nil"/>
                <w:between w:val="nil"/>
              </w:pBdr>
              <w:jc w:val="both"/>
              <w:rPr>
                <w:rFonts w:ascii="Arial Nova Light" w:eastAsia="Arial Nova" w:hAnsi="Arial Nova Light" w:cs="Arial"/>
                <w:sz w:val="20"/>
                <w:szCs w:val="20"/>
              </w:rPr>
            </w:pPr>
            <w:r w:rsidRPr="000C549E">
              <w:rPr>
                <w:rFonts w:ascii="Arial Nova Light" w:eastAsia="Arial Nova" w:hAnsi="Arial Nova Light" w:cs="Arial"/>
                <w:sz w:val="20"/>
                <w:szCs w:val="20"/>
              </w:rPr>
              <w:t xml:space="preserve">Consejo General del Instituto Estatal Electoral. </w:t>
            </w:r>
          </w:p>
        </w:tc>
      </w:tr>
      <w:tr w:rsidR="000C549E" w:rsidRPr="000C549E" w14:paraId="2D2EFC99" w14:textId="77777777">
        <w:trPr>
          <w:jc w:val="center"/>
        </w:trPr>
        <w:tc>
          <w:tcPr>
            <w:tcW w:w="2405" w:type="dxa"/>
          </w:tcPr>
          <w:p w14:paraId="08B187A7" w14:textId="4450B21D" w:rsidR="00B44840" w:rsidRPr="000C549E" w:rsidRDefault="0007662D" w:rsidP="00A10D38">
            <w:pPr>
              <w:pBdr>
                <w:top w:val="nil"/>
                <w:left w:val="nil"/>
                <w:bottom w:val="nil"/>
                <w:right w:val="nil"/>
                <w:between w:val="nil"/>
              </w:pBdr>
              <w:jc w:val="right"/>
              <w:rPr>
                <w:rFonts w:ascii="Arial Nova Light" w:eastAsia="Arial Nova" w:hAnsi="Arial Nova Light" w:cs="Arial"/>
                <w:b/>
                <w:sz w:val="20"/>
                <w:szCs w:val="20"/>
              </w:rPr>
            </w:pPr>
            <w:r w:rsidRPr="000C549E">
              <w:rPr>
                <w:rFonts w:ascii="Arial Nova Light" w:eastAsia="Arial Nova" w:hAnsi="Arial Nova Light" w:cs="Arial"/>
                <w:b/>
                <w:sz w:val="20"/>
                <w:szCs w:val="20"/>
              </w:rPr>
              <w:t>CG-R-</w:t>
            </w:r>
            <w:r w:rsidR="00E400BD" w:rsidRPr="000C549E">
              <w:rPr>
                <w:rFonts w:ascii="Arial Nova Light" w:eastAsia="Arial Nova" w:hAnsi="Arial Nova Light" w:cs="Arial"/>
                <w:b/>
                <w:sz w:val="20"/>
                <w:szCs w:val="20"/>
              </w:rPr>
              <w:t>02</w:t>
            </w:r>
            <w:r w:rsidRPr="000C549E">
              <w:rPr>
                <w:rFonts w:ascii="Arial Nova Light" w:eastAsia="Arial Nova" w:hAnsi="Arial Nova Light" w:cs="Arial"/>
                <w:b/>
                <w:sz w:val="20"/>
                <w:szCs w:val="20"/>
              </w:rPr>
              <w:t>/2</w:t>
            </w:r>
            <w:r w:rsidR="00E400BD" w:rsidRPr="000C549E">
              <w:rPr>
                <w:rFonts w:ascii="Arial Nova Light" w:eastAsia="Arial Nova" w:hAnsi="Arial Nova Light" w:cs="Arial"/>
                <w:b/>
                <w:sz w:val="20"/>
                <w:szCs w:val="20"/>
              </w:rPr>
              <w:t>2</w:t>
            </w:r>
          </w:p>
        </w:tc>
        <w:tc>
          <w:tcPr>
            <w:tcW w:w="5812" w:type="dxa"/>
          </w:tcPr>
          <w:p w14:paraId="1DADBCC1" w14:textId="732FD797" w:rsidR="00B44840" w:rsidRPr="000C549E" w:rsidRDefault="00E400BD">
            <w:pPr>
              <w:pBdr>
                <w:top w:val="nil"/>
                <w:left w:val="nil"/>
                <w:bottom w:val="nil"/>
                <w:right w:val="nil"/>
                <w:between w:val="nil"/>
              </w:pBdr>
              <w:jc w:val="both"/>
              <w:rPr>
                <w:rFonts w:ascii="Arial Nova Light" w:eastAsia="Arial Nova" w:hAnsi="Arial Nova Light" w:cs="Arial"/>
                <w:sz w:val="20"/>
                <w:szCs w:val="20"/>
              </w:rPr>
            </w:pPr>
            <w:r w:rsidRPr="000C549E">
              <w:rPr>
                <w:rFonts w:ascii="Arial Nova Light" w:eastAsia="Arial Nova" w:hAnsi="Arial Nova Light" w:cs="Arial"/>
                <w:sz w:val="20"/>
                <w:szCs w:val="20"/>
              </w:rPr>
              <w:t>Mediante el cual se determina respecto del registro condicionado como aspirante a una candidatura independiente otorgado por este Consejo General al C. Eric Monroy Sánchez en la resolución con clave CG-R-87/21, en cumplimiento a la sentencia emitida por el Tribunal Electoral del Estado de Aguascalientes, dentro del expediente TEEA-JDC-152/2021</w:t>
            </w:r>
            <w:r w:rsidR="00260C95" w:rsidRPr="000C549E">
              <w:rPr>
                <w:rFonts w:ascii="Arial Nova Light" w:eastAsia="Arial Nova" w:hAnsi="Arial Nova Light" w:cs="Arial"/>
                <w:sz w:val="20"/>
                <w:szCs w:val="20"/>
              </w:rPr>
              <w:t>.</w:t>
            </w:r>
          </w:p>
        </w:tc>
      </w:tr>
      <w:tr w:rsidR="000C549E" w:rsidRPr="000C549E" w14:paraId="0E45EB95" w14:textId="77777777">
        <w:trPr>
          <w:jc w:val="center"/>
        </w:trPr>
        <w:tc>
          <w:tcPr>
            <w:tcW w:w="2405" w:type="dxa"/>
          </w:tcPr>
          <w:p w14:paraId="7E9D542B" w14:textId="1FEAB3F5" w:rsidR="00B44840" w:rsidRPr="000C549E" w:rsidRDefault="007E2F45" w:rsidP="00A10D38">
            <w:pPr>
              <w:pBdr>
                <w:top w:val="nil"/>
                <w:left w:val="nil"/>
                <w:bottom w:val="nil"/>
                <w:right w:val="nil"/>
                <w:between w:val="nil"/>
              </w:pBdr>
              <w:jc w:val="right"/>
              <w:rPr>
                <w:rFonts w:ascii="Arial Nova Light" w:eastAsia="Arial Nova" w:hAnsi="Arial Nova Light" w:cs="Arial"/>
                <w:b/>
                <w:sz w:val="20"/>
                <w:szCs w:val="20"/>
              </w:rPr>
            </w:pPr>
            <w:r w:rsidRPr="000C549E">
              <w:rPr>
                <w:rFonts w:ascii="Arial Nova Light" w:eastAsia="Arial Nova" w:hAnsi="Arial Nova Light" w:cs="Arial"/>
                <w:b/>
                <w:sz w:val="20"/>
                <w:szCs w:val="20"/>
              </w:rPr>
              <w:t>Tribunal</w:t>
            </w:r>
            <w:r w:rsidR="00A13195" w:rsidRPr="000C549E">
              <w:rPr>
                <w:rFonts w:ascii="Arial Nova Light" w:eastAsia="Arial Nova" w:hAnsi="Arial Nova Light" w:cs="Arial"/>
                <w:b/>
                <w:sz w:val="20"/>
                <w:szCs w:val="20"/>
              </w:rPr>
              <w:t>/TEEA</w:t>
            </w:r>
            <w:r w:rsidRPr="000C549E">
              <w:rPr>
                <w:rFonts w:ascii="Arial Nova Light" w:eastAsia="Arial Nova" w:hAnsi="Arial Nova Light" w:cs="Arial"/>
                <w:b/>
                <w:sz w:val="20"/>
                <w:szCs w:val="20"/>
              </w:rPr>
              <w:t xml:space="preserve">: </w:t>
            </w:r>
          </w:p>
        </w:tc>
        <w:tc>
          <w:tcPr>
            <w:tcW w:w="5812" w:type="dxa"/>
          </w:tcPr>
          <w:p w14:paraId="74B2E69C" w14:textId="77777777" w:rsidR="00B44840" w:rsidRPr="000C549E" w:rsidRDefault="007E2F45">
            <w:pPr>
              <w:pBdr>
                <w:top w:val="nil"/>
                <w:left w:val="nil"/>
                <w:bottom w:val="nil"/>
                <w:right w:val="nil"/>
                <w:between w:val="nil"/>
              </w:pBdr>
              <w:jc w:val="both"/>
              <w:rPr>
                <w:rFonts w:ascii="Arial Nova Light" w:eastAsia="Arial Nova" w:hAnsi="Arial Nova Light" w:cs="Arial"/>
                <w:sz w:val="20"/>
                <w:szCs w:val="20"/>
              </w:rPr>
            </w:pPr>
            <w:r w:rsidRPr="000C549E">
              <w:rPr>
                <w:rFonts w:ascii="Arial Nova Light" w:eastAsia="Arial Nova" w:hAnsi="Arial Nova Light" w:cs="Arial"/>
                <w:sz w:val="20"/>
                <w:szCs w:val="20"/>
              </w:rPr>
              <w:t xml:space="preserve">Tribunal Electoral del Estado de Aguascalientes. </w:t>
            </w:r>
          </w:p>
        </w:tc>
      </w:tr>
      <w:tr w:rsidR="000C549E" w:rsidRPr="000C549E" w14:paraId="7FF286F1" w14:textId="77777777">
        <w:trPr>
          <w:trHeight w:val="80"/>
          <w:jc w:val="center"/>
        </w:trPr>
        <w:tc>
          <w:tcPr>
            <w:tcW w:w="2405" w:type="dxa"/>
          </w:tcPr>
          <w:p w14:paraId="2B6B5ED0" w14:textId="77777777" w:rsidR="00B44840" w:rsidRPr="000C549E" w:rsidRDefault="007E2F45" w:rsidP="00A10D38">
            <w:pPr>
              <w:pBdr>
                <w:top w:val="nil"/>
                <w:left w:val="nil"/>
                <w:bottom w:val="nil"/>
                <w:right w:val="nil"/>
                <w:between w:val="nil"/>
              </w:pBdr>
              <w:jc w:val="right"/>
              <w:rPr>
                <w:rFonts w:ascii="Arial Nova Light" w:eastAsia="Arial Nova" w:hAnsi="Arial Nova Light" w:cs="Arial"/>
                <w:b/>
                <w:sz w:val="20"/>
                <w:szCs w:val="20"/>
              </w:rPr>
            </w:pPr>
            <w:r w:rsidRPr="000C549E">
              <w:rPr>
                <w:rFonts w:ascii="Arial Nova Light" w:eastAsia="Arial Nova" w:hAnsi="Arial Nova Light" w:cs="Arial"/>
                <w:b/>
                <w:sz w:val="20"/>
                <w:szCs w:val="20"/>
              </w:rPr>
              <w:t>Sala Superior:</w:t>
            </w:r>
          </w:p>
        </w:tc>
        <w:tc>
          <w:tcPr>
            <w:tcW w:w="5812" w:type="dxa"/>
          </w:tcPr>
          <w:p w14:paraId="5121276E" w14:textId="77777777" w:rsidR="00B44840" w:rsidRPr="000C549E" w:rsidRDefault="007E2F45">
            <w:pPr>
              <w:pBdr>
                <w:top w:val="nil"/>
                <w:left w:val="nil"/>
                <w:bottom w:val="nil"/>
                <w:right w:val="nil"/>
                <w:between w:val="nil"/>
              </w:pBdr>
              <w:jc w:val="both"/>
              <w:rPr>
                <w:rFonts w:ascii="Arial Nova Light" w:eastAsia="Arial Nova" w:hAnsi="Arial Nova Light" w:cs="Arial"/>
                <w:sz w:val="20"/>
                <w:szCs w:val="20"/>
              </w:rPr>
            </w:pPr>
            <w:r w:rsidRPr="000C549E">
              <w:rPr>
                <w:rFonts w:ascii="Arial Nova Light" w:eastAsia="Arial Nova" w:hAnsi="Arial Nova Light" w:cs="Arial"/>
                <w:sz w:val="20"/>
                <w:szCs w:val="20"/>
              </w:rPr>
              <w:t>Sala Superior del Tribunal Electoral del Poder Judicial de la Federación.</w:t>
            </w:r>
          </w:p>
        </w:tc>
      </w:tr>
      <w:tr w:rsidR="000C549E" w:rsidRPr="000C549E" w14:paraId="1DF2983C" w14:textId="77777777">
        <w:trPr>
          <w:jc w:val="center"/>
        </w:trPr>
        <w:tc>
          <w:tcPr>
            <w:tcW w:w="2405" w:type="dxa"/>
          </w:tcPr>
          <w:p w14:paraId="162FBF8B" w14:textId="77777777" w:rsidR="00B44840" w:rsidRPr="000C549E" w:rsidRDefault="007E2F45" w:rsidP="00A10D38">
            <w:pPr>
              <w:pBdr>
                <w:top w:val="nil"/>
                <w:left w:val="nil"/>
                <w:bottom w:val="nil"/>
                <w:right w:val="nil"/>
                <w:between w:val="nil"/>
              </w:pBdr>
              <w:jc w:val="right"/>
              <w:rPr>
                <w:rFonts w:ascii="Arial Nova Light" w:eastAsia="Arial Nova" w:hAnsi="Arial Nova Light" w:cs="Arial"/>
                <w:b/>
                <w:sz w:val="20"/>
                <w:szCs w:val="20"/>
              </w:rPr>
            </w:pPr>
            <w:r w:rsidRPr="000C549E">
              <w:rPr>
                <w:rFonts w:ascii="Arial Nova Light" w:eastAsia="Arial Nova" w:hAnsi="Arial Nova Light" w:cs="Arial"/>
                <w:b/>
                <w:sz w:val="20"/>
                <w:szCs w:val="20"/>
              </w:rPr>
              <w:t>IEE:</w:t>
            </w:r>
          </w:p>
        </w:tc>
        <w:tc>
          <w:tcPr>
            <w:tcW w:w="5812" w:type="dxa"/>
          </w:tcPr>
          <w:p w14:paraId="40D3F1DE" w14:textId="77777777" w:rsidR="00B44840" w:rsidRPr="000C549E" w:rsidRDefault="007E2F45">
            <w:pPr>
              <w:pBdr>
                <w:top w:val="nil"/>
                <w:left w:val="nil"/>
                <w:bottom w:val="nil"/>
                <w:right w:val="nil"/>
                <w:between w:val="nil"/>
              </w:pBdr>
              <w:jc w:val="both"/>
              <w:rPr>
                <w:rFonts w:ascii="Arial Nova Light" w:eastAsia="Arial Nova" w:hAnsi="Arial Nova Light" w:cs="Arial"/>
                <w:sz w:val="20"/>
                <w:szCs w:val="20"/>
              </w:rPr>
            </w:pPr>
            <w:r w:rsidRPr="000C549E">
              <w:rPr>
                <w:rFonts w:ascii="Arial Nova Light" w:eastAsia="Arial Nova" w:hAnsi="Arial Nova Light" w:cs="Arial"/>
                <w:sz w:val="20"/>
                <w:szCs w:val="20"/>
              </w:rPr>
              <w:t>Instituto Estatal Electoral</w:t>
            </w:r>
          </w:p>
        </w:tc>
      </w:tr>
      <w:tr w:rsidR="000C549E" w:rsidRPr="000C549E" w14:paraId="664EB8EE" w14:textId="77777777">
        <w:trPr>
          <w:jc w:val="center"/>
        </w:trPr>
        <w:tc>
          <w:tcPr>
            <w:tcW w:w="2405" w:type="dxa"/>
          </w:tcPr>
          <w:p w14:paraId="7EC6ED51" w14:textId="77777777" w:rsidR="00B44840" w:rsidRPr="000C549E" w:rsidRDefault="007E2F45" w:rsidP="00A10D38">
            <w:pPr>
              <w:pBdr>
                <w:top w:val="nil"/>
                <w:left w:val="nil"/>
                <w:bottom w:val="nil"/>
                <w:right w:val="nil"/>
                <w:between w:val="nil"/>
              </w:pBdr>
              <w:jc w:val="right"/>
              <w:rPr>
                <w:rFonts w:ascii="Arial Nova Light" w:eastAsia="Arial Nova" w:hAnsi="Arial Nova Light" w:cs="Arial"/>
                <w:b/>
                <w:sz w:val="20"/>
                <w:szCs w:val="20"/>
              </w:rPr>
            </w:pPr>
            <w:r w:rsidRPr="000C549E">
              <w:rPr>
                <w:rFonts w:ascii="Arial Nova Light" w:eastAsia="Arial Nova" w:hAnsi="Arial Nova Light" w:cs="Arial"/>
                <w:b/>
                <w:sz w:val="20"/>
                <w:szCs w:val="20"/>
              </w:rPr>
              <w:t>CG:</w:t>
            </w:r>
          </w:p>
        </w:tc>
        <w:tc>
          <w:tcPr>
            <w:tcW w:w="5812" w:type="dxa"/>
          </w:tcPr>
          <w:p w14:paraId="308B2D1F" w14:textId="77777777" w:rsidR="00B44840" w:rsidRPr="000C549E" w:rsidRDefault="007E2F45">
            <w:pPr>
              <w:pBdr>
                <w:top w:val="nil"/>
                <w:left w:val="nil"/>
                <w:bottom w:val="nil"/>
                <w:right w:val="nil"/>
                <w:between w:val="nil"/>
              </w:pBdr>
              <w:jc w:val="both"/>
              <w:rPr>
                <w:rFonts w:ascii="Arial Nova Light" w:eastAsia="Arial Nova" w:hAnsi="Arial Nova Light" w:cs="Arial"/>
                <w:sz w:val="20"/>
                <w:szCs w:val="20"/>
              </w:rPr>
            </w:pPr>
            <w:r w:rsidRPr="000C549E">
              <w:rPr>
                <w:rFonts w:ascii="Arial Nova Light" w:eastAsia="Arial Nova" w:hAnsi="Arial Nova Light" w:cs="Arial"/>
                <w:sz w:val="20"/>
                <w:szCs w:val="20"/>
              </w:rPr>
              <w:t>Consejo General</w:t>
            </w:r>
          </w:p>
        </w:tc>
      </w:tr>
      <w:tr w:rsidR="00B44840" w:rsidRPr="000C549E" w14:paraId="67F76FD4" w14:textId="77777777">
        <w:trPr>
          <w:jc w:val="center"/>
        </w:trPr>
        <w:tc>
          <w:tcPr>
            <w:tcW w:w="2405" w:type="dxa"/>
          </w:tcPr>
          <w:p w14:paraId="751964EA" w14:textId="77777777" w:rsidR="00B44840" w:rsidRPr="000C549E" w:rsidRDefault="007E2F45" w:rsidP="00A10D38">
            <w:pPr>
              <w:pBdr>
                <w:top w:val="nil"/>
                <w:left w:val="nil"/>
                <w:bottom w:val="nil"/>
                <w:right w:val="nil"/>
                <w:between w:val="nil"/>
              </w:pBdr>
              <w:jc w:val="right"/>
              <w:rPr>
                <w:rFonts w:ascii="Arial Nova Light" w:eastAsia="Arial Nova" w:hAnsi="Arial Nova Light" w:cs="Arial"/>
                <w:b/>
                <w:sz w:val="20"/>
                <w:szCs w:val="20"/>
              </w:rPr>
            </w:pPr>
            <w:r w:rsidRPr="000C549E">
              <w:rPr>
                <w:rFonts w:ascii="Arial Nova Light" w:eastAsia="Arial Nova" w:hAnsi="Arial Nova Light" w:cs="Arial"/>
                <w:b/>
                <w:sz w:val="20"/>
                <w:szCs w:val="20"/>
              </w:rPr>
              <w:t>Código Electoral:</w:t>
            </w:r>
          </w:p>
        </w:tc>
        <w:tc>
          <w:tcPr>
            <w:tcW w:w="5812" w:type="dxa"/>
          </w:tcPr>
          <w:p w14:paraId="6A4158C5" w14:textId="77777777" w:rsidR="00B44840" w:rsidRPr="000C549E" w:rsidRDefault="007E2F45">
            <w:pPr>
              <w:pBdr>
                <w:top w:val="nil"/>
                <w:left w:val="nil"/>
                <w:bottom w:val="nil"/>
                <w:right w:val="nil"/>
                <w:between w:val="nil"/>
              </w:pBdr>
              <w:jc w:val="both"/>
              <w:rPr>
                <w:rFonts w:ascii="Arial Nova Light" w:eastAsia="Arial Nova" w:hAnsi="Arial Nova Light" w:cs="Arial"/>
                <w:sz w:val="20"/>
                <w:szCs w:val="20"/>
              </w:rPr>
            </w:pPr>
            <w:r w:rsidRPr="000C549E">
              <w:rPr>
                <w:rFonts w:ascii="Arial Nova Light" w:eastAsia="Arial Nova" w:hAnsi="Arial Nova Light" w:cs="Arial"/>
                <w:sz w:val="20"/>
                <w:szCs w:val="20"/>
              </w:rPr>
              <w:t>Código Electoral del Estado de Aguascalientes.</w:t>
            </w:r>
          </w:p>
        </w:tc>
      </w:tr>
    </w:tbl>
    <w:p w14:paraId="1A8A184C" w14:textId="77777777" w:rsidR="00B44840" w:rsidRPr="000C549E" w:rsidRDefault="00B44840">
      <w:pPr>
        <w:pBdr>
          <w:top w:val="nil"/>
          <w:left w:val="nil"/>
          <w:bottom w:val="nil"/>
          <w:right w:val="nil"/>
          <w:between w:val="nil"/>
        </w:pBdr>
        <w:tabs>
          <w:tab w:val="left" w:pos="0"/>
        </w:tabs>
        <w:spacing w:after="0" w:line="360" w:lineRule="auto"/>
        <w:jc w:val="both"/>
        <w:rPr>
          <w:rFonts w:ascii="Arial Nova Light" w:eastAsia="Arial Nova" w:hAnsi="Arial Nova Light" w:cs="Arial"/>
          <w:sz w:val="24"/>
          <w:szCs w:val="24"/>
        </w:rPr>
      </w:pPr>
    </w:p>
    <w:p w14:paraId="0B13A757" w14:textId="537F9634" w:rsidR="0030501E" w:rsidRPr="000C549E" w:rsidRDefault="007E2F45" w:rsidP="0030501E">
      <w:pPr>
        <w:numPr>
          <w:ilvl w:val="0"/>
          <w:numId w:val="1"/>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w:sz w:val="24"/>
          <w:szCs w:val="24"/>
        </w:rPr>
      </w:pPr>
      <w:r w:rsidRPr="000C549E">
        <w:rPr>
          <w:rFonts w:ascii="Arial Nova Light" w:eastAsia="Arial Nova" w:hAnsi="Arial Nova Light" w:cs="Arial"/>
          <w:b/>
          <w:sz w:val="24"/>
          <w:szCs w:val="24"/>
        </w:rPr>
        <w:t xml:space="preserve">ANTECEDENTES. </w:t>
      </w:r>
      <w:r w:rsidRPr="000C549E">
        <w:rPr>
          <w:rFonts w:ascii="Arial Nova Light" w:eastAsia="Arial Nova" w:hAnsi="Arial Nova Light" w:cs="Arial"/>
          <w:sz w:val="24"/>
          <w:szCs w:val="24"/>
        </w:rPr>
        <w:t xml:space="preserve">Los hechos se suscitaron en el año dos mil </w:t>
      </w:r>
      <w:r w:rsidR="00E400BD" w:rsidRPr="000C549E">
        <w:rPr>
          <w:rFonts w:ascii="Arial Nova Light" w:eastAsia="Arial Nova" w:hAnsi="Arial Nova Light" w:cs="Arial"/>
          <w:sz w:val="24"/>
          <w:szCs w:val="24"/>
        </w:rPr>
        <w:t>veintidós</w:t>
      </w:r>
      <w:r w:rsidRPr="000C549E">
        <w:rPr>
          <w:rFonts w:ascii="Arial Nova Light" w:eastAsia="Arial Nova" w:hAnsi="Arial Nova Light" w:cs="Arial"/>
          <w:sz w:val="24"/>
          <w:szCs w:val="24"/>
        </w:rPr>
        <w:t>, salvo precisión en contrario</w:t>
      </w:r>
      <w:r w:rsidRPr="000C549E">
        <w:rPr>
          <w:rFonts w:ascii="Arial Nova Light" w:eastAsia="Arial Nova" w:hAnsi="Arial Nova Light" w:cs="Arial"/>
          <w:b/>
          <w:sz w:val="24"/>
          <w:szCs w:val="24"/>
        </w:rPr>
        <w:t>.</w:t>
      </w:r>
    </w:p>
    <w:p w14:paraId="60B22DD1" w14:textId="77777777" w:rsidR="0030501E" w:rsidRPr="000C549E" w:rsidRDefault="0030501E" w:rsidP="0030501E">
      <w:pPr>
        <w:pBdr>
          <w:top w:val="nil"/>
          <w:left w:val="nil"/>
          <w:bottom w:val="nil"/>
          <w:right w:val="nil"/>
          <w:between w:val="nil"/>
        </w:pBdr>
        <w:tabs>
          <w:tab w:val="left" w:pos="0"/>
        </w:tabs>
        <w:spacing w:after="0" w:line="360" w:lineRule="auto"/>
        <w:jc w:val="both"/>
        <w:rPr>
          <w:rFonts w:ascii="Arial Nova Light" w:eastAsia="Arial Nova" w:hAnsi="Arial Nova Light" w:cs="Arial"/>
          <w:sz w:val="24"/>
          <w:szCs w:val="24"/>
        </w:rPr>
      </w:pPr>
    </w:p>
    <w:p w14:paraId="31095F43" w14:textId="77777777" w:rsidR="0030501E" w:rsidRPr="000C549E" w:rsidRDefault="0030501E" w:rsidP="0030501E">
      <w:pPr>
        <w:pBdr>
          <w:top w:val="nil"/>
          <w:left w:val="nil"/>
          <w:bottom w:val="nil"/>
          <w:right w:val="nil"/>
          <w:between w:val="nil"/>
        </w:pBdr>
        <w:tabs>
          <w:tab w:val="left" w:pos="0"/>
        </w:tabs>
        <w:spacing w:after="0" w:line="360" w:lineRule="auto"/>
        <w:jc w:val="both"/>
        <w:rPr>
          <w:rFonts w:ascii="Arial Nova Light" w:eastAsia="Arial Nova" w:hAnsi="Arial Nova Light" w:cs="Arial"/>
          <w:sz w:val="24"/>
          <w:szCs w:val="24"/>
        </w:rPr>
      </w:pPr>
      <w:r w:rsidRPr="000C549E">
        <w:rPr>
          <w:rFonts w:ascii="Arial Nova Light" w:eastAsia="Arial Nova" w:hAnsi="Arial Nova Light" w:cs="Arial"/>
          <w:b/>
          <w:sz w:val="24"/>
          <w:szCs w:val="24"/>
        </w:rPr>
        <w:t xml:space="preserve">1. </w:t>
      </w:r>
      <w:r w:rsidRPr="000C549E">
        <w:rPr>
          <w:rFonts w:ascii="Arial Nova Light" w:eastAsia="Arial Nova" w:hAnsi="Arial Nova Light" w:cs="Arial Nova"/>
          <w:b/>
          <w:bCs/>
          <w:sz w:val="24"/>
          <w:szCs w:val="24"/>
        </w:rPr>
        <w:t>Inicio del Proceso Electoral.</w:t>
      </w:r>
      <w:r w:rsidRPr="000C549E">
        <w:rPr>
          <w:rFonts w:ascii="Arial Nova Light" w:eastAsia="Arial Nova" w:hAnsi="Arial Nova Light" w:cs="Arial Nova"/>
          <w:sz w:val="24"/>
          <w:szCs w:val="24"/>
        </w:rPr>
        <w:t xml:space="preserve"> El día siete de octubre, en sesión extraordinaria del Consejo General se realizó la declaratoria del inicio del Proceso Electoral Local 2021-2022 en el Estado de Aguascalientes, para la elección de la Gubernatura. </w:t>
      </w:r>
    </w:p>
    <w:p w14:paraId="25F8F51C" w14:textId="0838AD42" w:rsidR="00CC1C56" w:rsidRPr="000C549E" w:rsidRDefault="009F311E" w:rsidP="00CC1C56">
      <w:pPr>
        <w:pBdr>
          <w:top w:val="nil"/>
          <w:left w:val="nil"/>
          <w:bottom w:val="nil"/>
          <w:right w:val="nil"/>
          <w:between w:val="nil"/>
        </w:pBdr>
        <w:tabs>
          <w:tab w:val="left" w:pos="0"/>
        </w:tabs>
        <w:spacing w:after="0" w:line="360" w:lineRule="auto"/>
        <w:jc w:val="both"/>
        <w:rPr>
          <w:rFonts w:ascii="Arial Nova Light" w:eastAsia="Arial Nova" w:hAnsi="Arial Nova Light" w:cs="Arial"/>
          <w:sz w:val="24"/>
          <w:szCs w:val="24"/>
        </w:rPr>
      </w:pPr>
      <w:r w:rsidRPr="000C549E">
        <w:rPr>
          <w:rFonts w:ascii="Arial Nova Light" w:eastAsia="Arial Nova" w:hAnsi="Arial Nova Light" w:cs="Arial"/>
          <w:b/>
          <w:sz w:val="24"/>
          <w:szCs w:val="24"/>
        </w:rPr>
        <w:lastRenderedPageBreak/>
        <w:t xml:space="preserve">2. </w:t>
      </w:r>
      <w:r w:rsidR="00743875" w:rsidRPr="000C549E">
        <w:rPr>
          <w:rFonts w:ascii="Arial Nova Light" w:hAnsi="Arial Nova Light" w:cs="Arial"/>
          <w:b/>
          <w:bCs/>
          <w:sz w:val="24"/>
          <w:szCs w:val="24"/>
        </w:rPr>
        <w:t>Resolución CG-R-02/22 del C</w:t>
      </w:r>
      <w:r w:rsidR="00A13195" w:rsidRPr="000C549E">
        <w:rPr>
          <w:rFonts w:ascii="Arial Nova Light" w:hAnsi="Arial Nova Light" w:cs="Arial"/>
          <w:b/>
          <w:bCs/>
          <w:sz w:val="24"/>
          <w:szCs w:val="24"/>
        </w:rPr>
        <w:t>G</w:t>
      </w:r>
      <w:r w:rsidR="00743875" w:rsidRPr="000C549E">
        <w:rPr>
          <w:rFonts w:ascii="Arial Nova Light" w:hAnsi="Arial Nova Light" w:cs="Arial"/>
          <w:b/>
          <w:bCs/>
          <w:sz w:val="24"/>
          <w:szCs w:val="24"/>
        </w:rPr>
        <w:t xml:space="preserve">. </w:t>
      </w:r>
      <w:r w:rsidR="00743875" w:rsidRPr="000C549E">
        <w:rPr>
          <w:rFonts w:ascii="Arial Nova Light" w:hAnsi="Arial Nova Light" w:cs="Arial"/>
          <w:sz w:val="24"/>
          <w:szCs w:val="24"/>
        </w:rPr>
        <w:t xml:space="preserve">El día ocho de enero, el CG, emitió la resolución mediante la cual aprobó el registro como aspirante a la Candidatura Independiente al cargo de la Gubernatura, por parte del C. Eric Monroy Sánchez. </w:t>
      </w:r>
    </w:p>
    <w:p w14:paraId="5B18FA8B" w14:textId="77777777" w:rsidR="00CC1C56" w:rsidRPr="000C549E" w:rsidRDefault="00CC1C56" w:rsidP="00CC1C56">
      <w:pPr>
        <w:pBdr>
          <w:top w:val="nil"/>
          <w:left w:val="nil"/>
          <w:bottom w:val="nil"/>
          <w:right w:val="nil"/>
          <w:between w:val="nil"/>
        </w:pBdr>
        <w:tabs>
          <w:tab w:val="left" w:pos="0"/>
        </w:tabs>
        <w:spacing w:after="0" w:line="360" w:lineRule="auto"/>
        <w:jc w:val="both"/>
        <w:rPr>
          <w:rFonts w:ascii="Arial Nova Light" w:eastAsia="Arial Nova" w:hAnsi="Arial Nova Light" w:cs="Arial"/>
          <w:sz w:val="24"/>
          <w:szCs w:val="24"/>
        </w:rPr>
      </w:pPr>
    </w:p>
    <w:p w14:paraId="754B15D7" w14:textId="77777777" w:rsidR="00CC1C56" w:rsidRPr="000C549E" w:rsidRDefault="00CC1C56" w:rsidP="00CC1C56">
      <w:pPr>
        <w:pBdr>
          <w:top w:val="nil"/>
          <w:left w:val="nil"/>
          <w:bottom w:val="nil"/>
          <w:right w:val="nil"/>
          <w:between w:val="nil"/>
        </w:pBdr>
        <w:tabs>
          <w:tab w:val="left" w:pos="0"/>
        </w:tabs>
        <w:spacing w:after="0" w:line="360" w:lineRule="auto"/>
        <w:jc w:val="both"/>
        <w:rPr>
          <w:rFonts w:ascii="Arial Nova Light" w:hAnsi="Arial Nova Light" w:cs="Arial"/>
          <w:sz w:val="24"/>
          <w:szCs w:val="24"/>
        </w:rPr>
      </w:pPr>
      <w:r w:rsidRPr="000C549E">
        <w:rPr>
          <w:rFonts w:ascii="Arial Nova Light" w:eastAsia="Arial Nova" w:hAnsi="Arial Nova Light" w:cs="Arial"/>
          <w:b/>
          <w:bCs/>
          <w:sz w:val="24"/>
          <w:szCs w:val="24"/>
        </w:rPr>
        <w:t>3</w:t>
      </w:r>
      <w:r w:rsidRPr="000C549E">
        <w:rPr>
          <w:rFonts w:ascii="Arial Nova Light" w:eastAsia="Arial Nova" w:hAnsi="Arial Nova Light" w:cs="Arial"/>
          <w:sz w:val="24"/>
          <w:szCs w:val="24"/>
        </w:rPr>
        <w:t xml:space="preserve">. </w:t>
      </w:r>
      <w:r w:rsidR="00581175" w:rsidRPr="000C549E">
        <w:rPr>
          <w:rFonts w:ascii="Arial Nova Light" w:hAnsi="Arial Nova Light"/>
          <w:b/>
          <w:bCs/>
          <w:sz w:val="24"/>
          <w:szCs w:val="24"/>
        </w:rPr>
        <w:t xml:space="preserve">Presentación de </w:t>
      </w:r>
      <w:r w:rsidRPr="000C549E">
        <w:rPr>
          <w:rFonts w:ascii="Arial Nova Light" w:hAnsi="Arial Nova Light"/>
          <w:b/>
          <w:bCs/>
          <w:sz w:val="24"/>
          <w:szCs w:val="24"/>
        </w:rPr>
        <w:t>Recurso de Apelación</w:t>
      </w:r>
      <w:r w:rsidR="00581175" w:rsidRPr="000C549E">
        <w:rPr>
          <w:rFonts w:ascii="Arial Nova Light" w:hAnsi="Arial Nova Light"/>
          <w:b/>
          <w:bCs/>
          <w:sz w:val="24"/>
          <w:szCs w:val="24"/>
        </w:rPr>
        <w:t xml:space="preserve">. </w:t>
      </w:r>
      <w:r w:rsidR="00442959" w:rsidRPr="000C549E">
        <w:rPr>
          <w:rFonts w:ascii="Arial Nova Light" w:hAnsi="Arial Nova Light"/>
          <w:sz w:val="24"/>
          <w:szCs w:val="24"/>
        </w:rPr>
        <w:t xml:space="preserve">El </w:t>
      </w:r>
      <w:r w:rsidRPr="000C549E">
        <w:rPr>
          <w:rFonts w:ascii="Arial Nova Light" w:hAnsi="Arial Nova Light"/>
          <w:sz w:val="24"/>
          <w:szCs w:val="24"/>
        </w:rPr>
        <w:t>doce</w:t>
      </w:r>
      <w:r w:rsidR="00442959" w:rsidRPr="000C549E">
        <w:rPr>
          <w:rFonts w:ascii="Arial Nova Light" w:hAnsi="Arial Nova Light"/>
          <w:sz w:val="24"/>
          <w:szCs w:val="24"/>
        </w:rPr>
        <w:t xml:space="preserve"> de </w:t>
      </w:r>
      <w:r w:rsidRPr="000C549E">
        <w:rPr>
          <w:rFonts w:ascii="Arial Nova Light" w:hAnsi="Arial Nova Light"/>
          <w:sz w:val="24"/>
          <w:szCs w:val="24"/>
        </w:rPr>
        <w:t>enero</w:t>
      </w:r>
      <w:r w:rsidR="00442959" w:rsidRPr="000C549E">
        <w:rPr>
          <w:rFonts w:ascii="Arial Nova Light" w:hAnsi="Arial Nova Light"/>
          <w:sz w:val="24"/>
          <w:szCs w:val="24"/>
        </w:rPr>
        <w:t>, el ciudadano promovente, se inconformó</w:t>
      </w:r>
      <w:r w:rsidR="00B437FC" w:rsidRPr="000C549E">
        <w:rPr>
          <w:rFonts w:ascii="Arial Nova Light" w:hAnsi="Arial Nova Light" w:cs="Arial"/>
          <w:sz w:val="24"/>
          <w:szCs w:val="24"/>
        </w:rPr>
        <w:t xml:space="preserve"> con la </w:t>
      </w:r>
      <w:r w:rsidRPr="000C549E">
        <w:rPr>
          <w:rFonts w:ascii="Arial Nova Light" w:hAnsi="Arial Nova Light" w:cs="Arial"/>
          <w:sz w:val="24"/>
          <w:szCs w:val="24"/>
        </w:rPr>
        <w:t>resolución</w:t>
      </w:r>
      <w:r w:rsidR="00381365" w:rsidRPr="000C549E">
        <w:rPr>
          <w:rFonts w:ascii="Arial Nova Light" w:hAnsi="Arial Nova Light" w:cs="Arial"/>
          <w:sz w:val="24"/>
          <w:szCs w:val="24"/>
        </w:rPr>
        <w:t xml:space="preserve"> del CG</w:t>
      </w:r>
      <w:r w:rsidRPr="000C549E">
        <w:rPr>
          <w:rFonts w:ascii="Arial Nova Light" w:hAnsi="Arial Nova Light" w:cs="Arial"/>
          <w:sz w:val="24"/>
          <w:szCs w:val="24"/>
        </w:rPr>
        <w:t xml:space="preserve"> referida en el punto anterior, presentando Recurso de Apelación.</w:t>
      </w:r>
    </w:p>
    <w:p w14:paraId="625E9C9D" w14:textId="77777777" w:rsidR="00CC1C56" w:rsidRPr="000C549E" w:rsidRDefault="00CC1C56" w:rsidP="00CC1C56">
      <w:pPr>
        <w:pBdr>
          <w:top w:val="nil"/>
          <w:left w:val="nil"/>
          <w:bottom w:val="nil"/>
          <w:right w:val="nil"/>
          <w:between w:val="nil"/>
        </w:pBdr>
        <w:tabs>
          <w:tab w:val="left" w:pos="0"/>
        </w:tabs>
        <w:spacing w:after="0" w:line="360" w:lineRule="auto"/>
        <w:jc w:val="both"/>
        <w:rPr>
          <w:rFonts w:ascii="Arial Nova Light" w:hAnsi="Arial Nova Light" w:cs="Arial"/>
          <w:sz w:val="24"/>
          <w:szCs w:val="24"/>
        </w:rPr>
      </w:pPr>
    </w:p>
    <w:p w14:paraId="3B5CA011" w14:textId="45C64624" w:rsidR="00AA75D9" w:rsidRPr="000C549E" w:rsidRDefault="00CC1C56" w:rsidP="00CC1C56">
      <w:pPr>
        <w:pBdr>
          <w:top w:val="nil"/>
          <w:left w:val="nil"/>
          <w:bottom w:val="nil"/>
          <w:right w:val="nil"/>
          <w:between w:val="nil"/>
        </w:pBdr>
        <w:tabs>
          <w:tab w:val="left" w:pos="0"/>
        </w:tabs>
        <w:spacing w:after="0" w:line="360" w:lineRule="auto"/>
        <w:jc w:val="both"/>
        <w:rPr>
          <w:rFonts w:ascii="Arial Nova Light" w:hAnsi="Arial Nova Light"/>
          <w:sz w:val="24"/>
          <w:szCs w:val="24"/>
        </w:rPr>
      </w:pPr>
      <w:r w:rsidRPr="000C549E">
        <w:rPr>
          <w:rFonts w:ascii="Arial Nova Light" w:hAnsi="Arial Nova Light" w:cs="Arial"/>
          <w:sz w:val="24"/>
          <w:szCs w:val="24"/>
        </w:rPr>
        <w:t xml:space="preserve">4. </w:t>
      </w:r>
      <w:r w:rsidR="00442959" w:rsidRPr="000C549E">
        <w:rPr>
          <w:rFonts w:ascii="Arial Nova Light" w:hAnsi="Arial Nova Light"/>
          <w:b/>
          <w:bCs/>
          <w:sz w:val="24"/>
          <w:szCs w:val="24"/>
        </w:rPr>
        <w:t>Recepción del expediente en el TEEA.</w:t>
      </w:r>
      <w:r w:rsidR="00442959" w:rsidRPr="000C549E">
        <w:rPr>
          <w:rFonts w:ascii="Arial Nova Light" w:hAnsi="Arial Nova Light"/>
          <w:sz w:val="24"/>
          <w:szCs w:val="24"/>
        </w:rPr>
        <w:t xml:space="preserve"> El </w:t>
      </w:r>
      <w:r w:rsidRPr="000C549E">
        <w:rPr>
          <w:rFonts w:ascii="Arial Nova Light" w:hAnsi="Arial Nova Light"/>
          <w:sz w:val="24"/>
          <w:szCs w:val="24"/>
        </w:rPr>
        <w:t>dieciséis</w:t>
      </w:r>
      <w:r w:rsidR="00AA75D9" w:rsidRPr="000C549E">
        <w:rPr>
          <w:rFonts w:ascii="Arial Nova Light" w:hAnsi="Arial Nova Light"/>
          <w:sz w:val="24"/>
          <w:szCs w:val="24"/>
        </w:rPr>
        <w:t xml:space="preserve"> de </w:t>
      </w:r>
      <w:r w:rsidRPr="000C549E">
        <w:rPr>
          <w:rFonts w:ascii="Arial Nova Light" w:hAnsi="Arial Nova Light"/>
          <w:sz w:val="24"/>
          <w:szCs w:val="24"/>
        </w:rPr>
        <w:t>enero</w:t>
      </w:r>
      <w:r w:rsidR="00442959" w:rsidRPr="000C549E">
        <w:rPr>
          <w:rFonts w:ascii="Arial Nova Light" w:hAnsi="Arial Nova Light"/>
          <w:sz w:val="24"/>
          <w:szCs w:val="24"/>
        </w:rPr>
        <w:t xml:space="preserve">, la responsable remitió a este Tribunal el medio de impugnación, el informe circunstanciado y el expediente debidamente integrado. </w:t>
      </w:r>
    </w:p>
    <w:p w14:paraId="627D9F5A" w14:textId="77777777" w:rsidR="00F53924" w:rsidRPr="000C549E" w:rsidRDefault="00F53924" w:rsidP="00CC1C56">
      <w:pPr>
        <w:pBdr>
          <w:top w:val="nil"/>
          <w:left w:val="nil"/>
          <w:bottom w:val="nil"/>
          <w:right w:val="nil"/>
          <w:between w:val="nil"/>
        </w:pBdr>
        <w:tabs>
          <w:tab w:val="left" w:pos="0"/>
        </w:tabs>
        <w:spacing w:after="0" w:line="360" w:lineRule="auto"/>
        <w:jc w:val="both"/>
        <w:rPr>
          <w:rFonts w:ascii="Arial Nova Light" w:hAnsi="Arial Nova Light"/>
          <w:sz w:val="24"/>
          <w:szCs w:val="24"/>
        </w:rPr>
      </w:pPr>
    </w:p>
    <w:p w14:paraId="38D45B7B" w14:textId="7F994862" w:rsidR="00F53924" w:rsidRPr="000C549E" w:rsidRDefault="00F53924" w:rsidP="00F53924">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w:bCs/>
          <w:sz w:val="24"/>
          <w:szCs w:val="24"/>
        </w:rPr>
      </w:pPr>
      <w:r w:rsidRPr="000C549E">
        <w:rPr>
          <w:rFonts w:ascii="Arial Nova Light" w:hAnsi="Arial Nova Light"/>
          <w:b/>
          <w:sz w:val="24"/>
          <w:szCs w:val="24"/>
        </w:rPr>
        <w:t>5. Turno</w:t>
      </w:r>
      <w:r w:rsidRPr="000C549E">
        <w:rPr>
          <w:rFonts w:ascii="Arial Nova Light" w:hAnsi="Arial Nova Light"/>
          <w:bCs/>
          <w:sz w:val="24"/>
          <w:szCs w:val="24"/>
        </w:rPr>
        <w:t>.</w:t>
      </w:r>
      <w:r w:rsidRPr="000C549E">
        <w:rPr>
          <w:rFonts w:ascii="Arial Nova Light" w:hAnsi="Arial Nova Light"/>
          <w:sz w:val="24"/>
          <w:szCs w:val="24"/>
        </w:rPr>
        <w:t xml:space="preserve"> Por acuerdo de presidencia de diecisiete de enero, se le asignó el número de expediente </w:t>
      </w:r>
      <w:r w:rsidRPr="000C549E">
        <w:rPr>
          <w:rFonts w:ascii="Arial Nova Light" w:hAnsi="Arial Nova Light"/>
          <w:bCs/>
          <w:sz w:val="24"/>
          <w:szCs w:val="24"/>
        </w:rPr>
        <w:t>TEEA-RAP-002/2021</w:t>
      </w:r>
      <w:r w:rsidRPr="000C549E">
        <w:rPr>
          <w:rFonts w:ascii="Arial Nova Light" w:hAnsi="Arial Nova Light"/>
          <w:sz w:val="24"/>
          <w:szCs w:val="24"/>
        </w:rPr>
        <w:t xml:space="preserve"> y fue turnado a la ponencia I, a cargo de la Magistrada Claudia Eloisa Díaz de León González.</w:t>
      </w:r>
    </w:p>
    <w:p w14:paraId="6F50D707" w14:textId="0B561FA8" w:rsidR="00DB3A72" w:rsidRPr="000C549E" w:rsidRDefault="00DB3A72" w:rsidP="00CC1C56">
      <w:pPr>
        <w:pBdr>
          <w:top w:val="nil"/>
          <w:left w:val="nil"/>
          <w:bottom w:val="nil"/>
          <w:right w:val="nil"/>
          <w:between w:val="nil"/>
        </w:pBdr>
        <w:tabs>
          <w:tab w:val="left" w:pos="0"/>
        </w:tabs>
        <w:spacing w:after="0" w:line="360" w:lineRule="auto"/>
        <w:jc w:val="both"/>
        <w:rPr>
          <w:rFonts w:ascii="Arial Nova Light" w:hAnsi="Arial Nova Light"/>
          <w:sz w:val="24"/>
          <w:szCs w:val="24"/>
        </w:rPr>
      </w:pPr>
    </w:p>
    <w:p w14:paraId="688D80BD" w14:textId="6C8068B5" w:rsidR="008F5339" w:rsidRPr="000C549E" w:rsidRDefault="008F5339" w:rsidP="00CC1C56">
      <w:pPr>
        <w:pBdr>
          <w:top w:val="nil"/>
          <w:left w:val="nil"/>
          <w:bottom w:val="nil"/>
          <w:right w:val="nil"/>
          <w:between w:val="nil"/>
        </w:pBdr>
        <w:tabs>
          <w:tab w:val="left" w:pos="0"/>
        </w:tabs>
        <w:spacing w:after="0" w:line="360" w:lineRule="auto"/>
        <w:jc w:val="both"/>
        <w:rPr>
          <w:rFonts w:ascii="Arial Nova Light" w:hAnsi="Arial Nova Light"/>
          <w:sz w:val="24"/>
          <w:szCs w:val="24"/>
        </w:rPr>
      </w:pPr>
      <w:r w:rsidRPr="000C549E">
        <w:rPr>
          <w:rFonts w:ascii="Arial Nova Light" w:hAnsi="Arial Nova Light"/>
          <w:b/>
          <w:bCs/>
          <w:sz w:val="24"/>
          <w:szCs w:val="24"/>
        </w:rPr>
        <w:t>6</w:t>
      </w:r>
      <w:r w:rsidR="00DB3A72" w:rsidRPr="000C549E">
        <w:rPr>
          <w:rFonts w:ascii="Arial Nova Light" w:hAnsi="Arial Nova Light"/>
          <w:b/>
          <w:bCs/>
          <w:sz w:val="24"/>
          <w:szCs w:val="24"/>
        </w:rPr>
        <w:t>. Reencauzamiento de vía</w:t>
      </w:r>
      <w:r w:rsidR="00DB3A72" w:rsidRPr="000C549E">
        <w:rPr>
          <w:rFonts w:ascii="Arial Nova Light" w:hAnsi="Arial Nova Light"/>
          <w:sz w:val="24"/>
          <w:szCs w:val="24"/>
        </w:rPr>
        <w:t xml:space="preserve">. </w:t>
      </w:r>
      <w:r w:rsidR="00966DCC" w:rsidRPr="000C549E">
        <w:rPr>
          <w:rFonts w:ascii="Arial Nova Light" w:hAnsi="Arial Nova Light"/>
          <w:sz w:val="24"/>
          <w:szCs w:val="24"/>
        </w:rPr>
        <w:t>El mismo día diecisiete de enero, a</w:t>
      </w:r>
      <w:r w:rsidR="00F53924" w:rsidRPr="000C549E">
        <w:rPr>
          <w:rFonts w:ascii="Arial Nova Light" w:hAnsi="Arial Nova Light"/>
          <w:sz w:val="24"/>
          <w:szCs w:val="24"/>
        </w:rPr>
        <w:t>nte la imposibilidad de estudiar las pretensiones por la vía solicitada, el Pleno de este Tribunal, determinó reencauzar el Recurso De Apelación</w:t>
      </w:r>
      <w:r w:rsidRPr="000C549E">
        <w:rPr>
          <w:rFonts w:ascii="Arial Nova Light" w:hAnsi="Arial Nova Light"/>
          <w:sz w:val="24"/>
          <w:szCs w:val="24"/>
        </w:rPr>
        <w:t xml:space="preserve"> a Juicio para la Protección de los Derechos Político-Electorales del Ciudadano, por ser la vía idónea de acuerdo a la normativa vigente. </w:t>
      </w:r>
    </w:p>
    <w:p w14:paraId="29BCBC8C" w14:textId="77777777" w:rsidR="008F5339" w:rsidRPr="000C549E" w:rsidRDefault="008F5339" w:rsidP="00CC1C56">
      <w:pPr>
        <w:pBdr>
          <w:top w:val="nil"/>
          <w:left w:val="nil"/>
          <w:bottom w:val="nil"/>
          <w:right w:val="nil"/>
          <w:between w:val="nil"/>
        </w:pBdr>
        <w:tabs>
          <w:tab w:val="left" w:pos="0"/>
        </w:tabs>
        <w:spacing w:after="0" w:line="360" w:lineRule="auto"/>
        <w:jc w:val="both"/>
        <w:rPr>
          <w:rFonts w:ascii="Arial Nova Light" w:hAnsi="Arial Nova Light"/>
          <w:sz w:val="24"/>
          <w:szCs w:val="24"/>
        </w:rPr>
      </w:pPr>
    </w:p>
    <w:p w14:paraId="1804DA9B" w14:textId="4247C06A" w:rsidR="00966DCC" w:rsidRPr="000C549E" w:rsidRDefault="008F5339" w:rsidP="00CC1C56">
      <w:pPr>
        <w:pBdr>
          <w:top w:val="nil"/>
          <w:left w:val="nil"/>
          <w:bottom w:val="nil"/>
          <w:right w:val="nil"/>
          <w:between w:val="nil"/>
        </w:pBdr>
        <w:tabs>
          <w:tab w:val="left" w:pos="0"/>
        </w:tabs>
        <w:spacing w:after="0" w:line="360" w:lineRule="auto"/>
        <w:jc w:val="both"/>
        <w:rPr>
          <w:rFonts w:ascii="Arial Nova Light" w:hAnsi="Arial Nova Light"/>
          <w:sz w:val="24"/>
          <w:szCs w:val="24"/>
        </w:rPr>
      </w:pPr>
      <w:r w:rsidRPr="000C549E">
        <w:rPr>
          <w:rFonts w:ascii="Arial Nova Light" w:hAnsi="Arial Nova Light"/>
          <w:b/>
          <w:bCs/>
          <w:sz w:val="24"/>
          <w:szCs w:val="24"/>
        </w:rPr>
        <w:t xml:space="preserve">7. </w:t>
      </w:r>
      <w:r w:rsidR="00D55E7C" w:rsidRPr="000C549E">
        <w:rPr>
          <w:rFonts w:ascii="Arial Nova Light" w:hAnsi="Arial Nova Light"/>
          <w:b/>
          <w:bCs/>
          <w:sz w:val="24"/>
          <w:szCs w:val="24"/>
        </w:rPr>
        <w:t>Nuevo Turno</w:t>
      </w:r>
      <w:r w:rsidR="005B66DE" w:rsidRPr="000C549E">
        <w:rPr>
          <w:rFonts w:ascii="Arial Nova Light" w:hAnsi="Arial Nova Light"/>
          <w:b/>
          <w:bCs/>
          <w:sz w:val="24"/>
          <w:szCs w:val="24"/>
        </w:rPr>
        <w:t xml:space="preserve"> y radicación</w:t>
      </w:r>
      <w:r w:rsidR="00D55E7C" w:rsidRPr="000C549E">
        <w:rPr>
          <w:rFonts w:ascii="Arial Nova Light" w:hAnsi="Arial Nova Light"/>
          <w:b/>
          <w:bCs/>
          <w:sz w:val="24"/>
          <w:szCs w:val="24"/>
        </w:rPr>
        <w:t xml:space="preserve">. </w:t>
      </w:r>
      <w:r w:rsidR="00D55E7C" w:rsidRPr="000C549E">
        <w:rPr>
          <w:rFonts w:ascii="Arial Nova Light" w:hAnsi="Arial Nova Light"/>
          <w:sz w:val="24"/>
          <w:szCs w:val="24"/>
        </w:rPr>
        <w:t xml:space="preserve">Una vez reencauzado, se </w:t>
      </w:r>
      <w:r w:rsidR="00966DCC" w:rsidRPr="000C549E">
        <w:rPr>
          <w:rFonts w:ascii="Arial Nova Light" w:hAnsi="Arial Nova Light"/>
          <w:sz w:val="24"/>
          <w:szCs w:val="24"/>
        </w:rPr>
        <w:t>instruyó a</w:t>
      </w:r>
      <w:r w:rsidR="00D55E7C" w:rsidRPr="000C549E">
        <w:rPr>
          <w:rFonts w:ascii="Arial Nova Light" w:hAnsi="Arial Nova Light"/>
          <w:sz w:val="24"/>
          <w:szCs w:val="24"/>
        </w:rPr>
        <w:t xml:space="preserve"> la S</w:t>
      </w:r>
      <w:r w:rsidR="00C4258D" w:rsidRPr="000C549E">
        <w:rPr>
          <w:rFonts w:ascii="Arial Nova Light" w:hAnsi="Arial Nova Light"/>
          <w:sz w:val="24"/>
          <w:szCs w:val="24"/>
        </w:rPr>
        <w:t xml:space="preserve">ecretaría </w:t>
      </w:r>
      <w:r w:rsidR="00D55E7C" w:rsidRPr="000C549E">
        <w:rPr>
          <w:rFonts w:ascii="Arial Nova Light" w:hAnsi="Arial Nova Light"/>
          <w:sz w:val="24"/>
          <w:szCs w:val="24"/>
        </w:rPr>
        <w:t>G</w:t>
      </w:r>
      <w:r w:rsidR="00C4258D" w:rsidRPr="000C549E">
        <w:rPr>
          <w:rFonts w:ascii="Arial Nova Light" w:hAnsi="Arial Nova Light"/>
          <w:sz w:val="24"/>
          <w:szCs w:val="24"/>
        </w:rPr>
        <w:t xml:space="preserve">eneral de </w:t>
      </w:r>
      <w:r w:rsidR="00D55E7C" w:rsidRPr="000C549E">
        <w:rPr>
          <w:rFonts w:ascii="Arial Nova Light" w:hAnsi="Arial Nova Light"/>
          <w:sz w:val="24"/>
          <w:szCs w:val="24"/>
        </w:rPr>
        <w:t>A</w:t>
      </w:r>
      <w:r w:rsidR="00C4258D" w:rsidRPr="000C549E">
        <w:rPr>
          <w:rFonts w:ascii="Arial Nova Light" w:hAnsi="Arial Nova Light"/>
          <w:sz w:val="24"/>
          <w:szCs w:val="24"/>
        </w:rPr>
        <w:t>cuerdos</w:t>
      </w:r>
      <w:r w:rsidR="00D55E7C" w:rsidRPr="000C549E">
        <w:rPr>
          <w:rFonts w:ascii="Arial Nova Light" w:hAnsi="Arial Nova Light"/>
          <w:sz w:val="24"/>
          <w:szCs w:val="24"/>
        </w:rPr>
        <w:t xml:space="preserve"> de este Tribunal, para que se registrara el expediente como Juicio para la Protección de los Derechos Político-Electorales del Ciudadano y le fuera asignado nuevo expediente y turnado de nueva cuenta a la Ponencia </w:t>
      </w:r>
      <w:r w:rsidR="00161A27" w:rsidRPr="000C549E">
        <w:rPr>
          <w:rFonts w:ascii="Arial Nova Light" w:hAnsi="Arial Nova Light"/>
          <w:sz w:val="24"/>
          <w:szCs w:val="24"/>
        </w:rPr>
        <w:t xml:space="preserve">a cargo de la Magistrada Presidenta, </w:t>
      </w:r>
      <w:r w:rsidR="00D55E7C" w:rsidRPr="000C549E">
        <w:rPr>
          <w:rFonts w:ascii="Arial Nova Light" w:hAnsi="Arial Nova Light"/>
          <w:sz w:val="24"/>
          <w:szCs w:val="24"/>
        </w:rPr>
        <w:t xml:space="preserve">para su </w:t>
      </w:r>
      <w:r w:rsidR="00966DCC" w:rsidRPr="000C549E">
        <w:rPr>
          <w:rFonts w:ascii="Arial Nova Light" w:hAnsi="Arial Nova Light"/>
          <w:sz w:val="24"/>
          <w:szCs w:val="24"/>
        </w:rPr>
        <w:t xml:space="preserve">sustanciación. </w:t>
      </w:r>
    </w:p>
    <w:p w14:paraId="04213D73" w14:textId="0A3F1842" w:rsidR="00966DCC" w:rsidRPr="000C549E" w:rsidRDefault="00966DCC" w:rsidP="00CC1C56">
      <w:pPr>
        <w:pBdr>
          <w:top w:val="nil"/>
          <w:left w:val="nil"/>
          <w:bottom w:val="nil"/>
          <w:right w:val="nil"/>
          <w:between w:val="nil"/>
        </w:pBdr>
        <w:tabs>
          <w:tab w:val="left" w:pos="0"/>
        </w:tabs>
        <w:spacing w:after="0" w:line="360" w:lineRule="auto"/>
        <w:jc w:val="both"/>
        <w:rPr>
          <w:rFonts w:ascii="Arial Nova Light" w:hAnsi="Arial Nova Light"/>
          <w:sz w:val="24"/>
          <w:szCs w:val="24"/>
        </w:rPr>
      </w:pPr>
    </w:p>
    <w:p w14:paraId="6F575D11" w14:textId="2EE00BBC" w:rsidR="005B66DE" w:rsidRPr="000C549E" w:rsidRDefault="00966DCC" w:rsidP="005B66DE">
      <w:pPr>
        <w:pStyle w:val="Estilo"/>
        <w:spacing w:line="360" w:lineRule="auto"/>
        <w:rPr>
          <w:rFonts w:ascii="Arial Nova Light" w:hAnsi="Arial Nova Light"/>
          <w:szCs w:val="24"/>
        </w:rPr>
      </w:pPr>
      <w:r w:rsidRPr="000C549E">
        <w:rPr>
          <w:rFonts w:ascii="Arial Nova Light" w:hAnsi="Arial Nova Light"/>
          <w:szCs w:val="24"/>
        </w:rPr>
        <w:t xml:space="preserve">Luego, por </w:t>
      </w:r>
      <w:r w:rsidR="00806E7E" w:rsidRPr="000C549E">
        <w:rPr>
          <w:rFonts w:ascii="Arial Nova Light" w:hAnsi="Arial Nova Light"/>
          <w:szCs w:val="24"/>
        </w:rPr>
        <w:t>A</w:t>
      </w:r>
      <w:r w:rsidRPr="000C549E">
        <w:rPr>
          <w:rFonts w:ascii="Arial Nova Light" w:hAnsi="Arial Nova Light"/>
          <w:szCs w:val="24"/>
        </w:rPr>
        <w:t xml:space="preserve">cuerdo de </w:t>
      </w:r>
      <w:r w:rsidR="00806E7E" w:rsidRPr="000C549E">
        <w:rPr>
          <w:rFonts w:ascii="Arial Nova Light" w:hAnsi="Arial Nova Light"/>
          <w:szCs w:val="24"/>
        </w:rPr>
        <w:t>T</w:t>
      </w:r>
      <w:r w:rsidRPr="000C549E">
        <w:rPr>
          <w:rFonts w:ascii="Arial Nova Light" w:hAnsi="Arial Nova Light"/>
          <w:szCs w:val="24"/>
        </w:rPr>
        <w:t xml:space="preserve">urno de </w:t>
      </w:r>
      <w:r w:rsidR="00806E7E" w:rsidRPr="000C549E">
        <w:rPr>
          <w:rFonts w:ascii="Arial Nova Light" w:hAnsi="Arial Nova Light"/>
          <w:szCs w:val="24"/>
        </w:rPr>
        <w:t>P</w:t>
      </w:r>
      <w:r w:rsidRPr="000C549E">
        <w:rPr>
          <w:rFonts w:ascii="Arial Nova Light" w:hAnsi="Arial Nova Light"/>
          <w:szCs w:val="24"/>
        </w:rPr>
        <w:t>residencia</w:t>
      </w:r>
      <w:r w:rsidR="00AA444E" w:rsidRPr="000C549E">
        <w:rPr>
          <w:rFonts w:ascii="Arial Nova Light" w:hAnsi="Arial Nova Light"/>
          <w:szCs w:val="24"/>
        </w:rPr>
        <w:t xml:space="preserve">, en la misma fecha </w:t>
      </w:r>
      <w:r w:rsidR="00806E7E" w:rsidRPr="000C549E">
        <w:rPr>
          <w:rFonts w:ascii="Arial Nova Light" w:hAnsi="Arial Nova Light"/>
          <w:szCs w:val="24"/>
        </w:rPr>
        <w:t xml:space="preserve">se radicó con el </w:t>
      </w:r>
      <w:r w:rsidR="00AA444E" w:rsidRPr="000C549E">
        <w:rPr>
          <w:rFonts w:ascii="Arial Nova Light" w:hAnsi="Arial Nova Light"/>
          <w:szCs w:val="24"/>
        </w:rPr>
        <w:t>número de expediente TEEA-JDC-</w:t>
      </w:r>
      <w:r w:rsidR="00A13195" w:rsidRPr="000C549E">
        <w:rPr>
          <w:rFonts w:ascii="Arial Nova Light" w:hAnsi="Arial Nova Light"/>
          <w:szCs w:val="24"/>
        </w:rPr>
        <w:t>005</w:t>
      </w:r>
      <w:r w:rsidR="00AA444E" w:rsidRPr="000C549E">
        <w:rPr>
          <w:rFonts w:ascii="Arial Nova Light" w:hAnsi="Arial Nova Light"/>
          <w:szCs w:val="24"/>
        </w:rPr>
        <w:t>/2022</w:t>
      </w:r>
      <w:r w:rsidR="005B66DE" w:rsidRPr="000C549E">
        <w:rPr>
          <w:rFonts w:ascii="Arial Nova Light" w:hAnsi="Arial Nova Light"/>
          <w:szCs w:val="24"/>
        </w:rPr>
        <w:t xml:space="preserve">. </w:t>
      </w:r>
    </w:p>
    <w:p w14:paraId="49640EB7" w14:textId="059A3E01" w:rsidR="005B66DE" w:rsidRPr="000C549E" w:rsidRDefault="005B66DE" w:rsidP="00CC1C56">
      <w:pPr>
        <w:pBdr>
          <w:top w:val="nil"/>
          <w:left w:val="nil"/>
          <w:bottom w:val="nil"/>
          <w:right w:val="nil"/>
          <w:between w:val="nil"/>
        </w:pBdr>
        <w:tabs>
          <w:tab w:val="left" w:pos="0"/>
        </w:tabs>
        <w:spacing w:after="0" w:line="360" w:lineRule="auto"/>
        <w:jc w:val="both"/>
        <w:rPr>
          <w:rFonts w:ascii="Arial Nova Light" w:hAnsi="Arial Nova Light"/>
          <w:sz w:val="24"/>
          <w:szCs w:val="24"/>
        </w:rPr>
      </w:pPr>
    </w:p>
    <w:p w14:paraId="5E453D93" w14:textId="41A3E2AB" w:rsidR="006D35DC" w:rsidRPr="000C549E" w:rsidRDefault="007E2F45" w:rsidP="006D35DC">
      <w:pPr>
        <w:numPr>
          <w:ilvl w:val="0"/>
          <w:numId w:val="1"/>
        </w:numPr>
        <w:pBdr>
          <w:top w:val="nil"/>
          <w:left w:val="nil"/>
          <w:bottom w:val="nil"/>
          <w:right w:val="nil"/>
          <w:between w:val="nil"/>
        </w:pBdr>
        <w:tabs>
          <w:tab w:val="left" w:pos="0"/>
        </w:tabs>
        <w:spacing w:after="280" w:line="360" w:lineRule="auto"/>
        <w:ind w:left="0" w:firstLine="0"/>
        <w:jc w:val="both"/>
        <w:rPr>
          <w:rFonts w:ascii="Arial Nova Light" w:eastAsia="Arial Nova" w:hAnsi="Arial Nova Light" w:cs="Arial"/>
          <w:sz w:val="24"/>
          <w:szCs w:val="24"/>
        </w:rPr>
      </w:pPr>
      <w:r w:rsidRPr="000C549E">
        <w:rPr>
          <w:rFonts w:ascii="Arial Nova Light" w:eastAsia="Arial Nova" w:hAnsi="Arial Nova Light" w:cs="Arial"/>
          <w:b/>
          <w:sz w:val="24"/>
          <w:szCs w:val="24"/>
        </w:rPr>
        <w:t xml:space="preserve">COMPETENCIA. </w:t>
      </w:r>
      <w:r w:rsidRPr="000C549E">
        <w:rPr>
          <w:rFonts w:ascii="Arial Nova Light" w:eastAsia="Arial Nova" w:hAnsi="Arial Nova Light" w:cs="Arial"/>
          <w:sz w:val="24"/>
          <w:szCs w:val="24"/>
        </w:rPr>
        <w:t xml:space="preserve">De conformidad con lo dispuesto en los artículos 1, 2, 9 y 10, fracción IV de los </w:t>
      </w:r>
      <w:r w:rsidRPr="000C549E">
        <w:rPr>
          <w:rFonts w:ascii="Arial Nova Light" w:eastAsia="Arial Nova" w:hAnsi="Arial Nova Light" w:cs="Arial"/>
          <w:i/>
          <w:iCs/>
          <w:sz w:val="24"/>
          <w:szCs w:val="24"/>
        </w:rPr>
        <w:t>Lineamientos para la tramitación, sustanciación y resolución del juicio para la protección de los derechos político-electorales del ciudadano, el juicio electoral, y asunto general</w:t>
      </w:r>
      <w:r w:rsidRPr="000C549E">
        <w:rPr>
          <w:rFonts w:ascii="Arial Nova Light" w:eastAsia="Arial Nova" w:hAnsi="Arial Nova Light" w:cs="Arial"/>
          <w:sz w:val="24"/>
          <w:szCs w:val="24"/>
        </w:rPr>
        <w:t xml:space="preserve">, competencia del Tribunal Electoral del Estado de Aguascalientes y 9 del </w:t>
      </w:r>
      <w:r w:rsidRPr="000C549E">
        <w:rPr>
          <w:rFonts w:ascii="Arial Nova Light" w:eastAsia="Arial Nova" w:hAnsi="Arial Nova Light" w:cs="Arial"/>
          <w:i/>
          <w:iCs/>
          <w:sz w:val="24"/>
          <w:szCs w:val="24"/>
        </w:rPr>
        <w:t>Reglamento Interior</w:t>
      </w:r>
      <w:r w:rsidRPr="000C549E">
        <w:rPr>
          <w:rFonts w:ascii="Arial Nova Light" w:eastAsia="Arial Nova" w:hAnsi="Arial Nova Light" w:cs="Arial"/>
          <w:sz w:val="24"/>
          <w:szCs w:val="24"/>
        </w:rPr>
        <w:t xml:space="preserve">, este Tribunal es competente para conocer y resolver el Juicio para la Protección de los Derechos Político-Electorales del Ciudadano </w:t>
      </w:r>
      <w:r w:rsidR="0010436F" w:rsidRPr="000C549E">
        <w:rPr>
          <w:rFonts w:ascii="Arial Nova Light" w:hAnsi="Arial Nova Light" w:cs="Arial"/>
          <w:sz w:val="24"/>
          <w:szCs w:val="24"/>
          <w:lang w:val="es-ES_tradnl"/>
        </w:rPr>
        <w:t xml:space="preserve">promovido por </w:t>
      </w:r>
      <w:r w:rsidR="00806E7E" w:rsidRPr="000C549E">
        <w:rPr>
          <w:rFonts w:ascii="Arial Nova Light" w:hAnsi="Arial Nova Light" w:cs="Arial"/>
          <w:sz w:val="24"/>
          <w:szCs w:val="24"/>
          <w:lang w:val="es-ES_tradnl"/>
        </w:rPr>
        <w:t xml:space="preserve">el C. </w:t>
      </w:r>
      <w:r w:rsidR="007B117C" w:rsidRPr="000C549E">
        <w:rPr>
          <w:rFonts w:ascii="Arial Nova Light" w:hAnsi="Arial Nova Light" w:cs="Arial"/>
          <w:sz w:val="24"/>
          <w:szCs w:val="24"/>
          <w:lang w:val="es-ES_tradnl"/>
        </w:rPr>
        <w:t>Antonio López Cervantes,</w:t>
      </w:r>
      <w:r w:rsidR="0010436F" w:rsidRPr="000C549E">
        <w:rPr>
          <w:rFonts w:ascii="Arial Nova Light" w:hAnsi="Arial Nova Light" w:cs="Arial"/>
          <w:sz w:val="24"/>
          <w:szCs w:val="24"/>
          <w:lang w:val="es-ES_tradnl"/>
        </w:rPr>
        <w:t xml:space="preserve"> en su calidad de ciudadano, en contra </w:t>
      </w:r>
      <w:r w:rsidR="007B117C" w:rsidRPr="000C549E">
        <w:rPr>
          <w:rFonts w:ascii="Arial Nova Light" w:hAnsi="Arial Nova Light" w:cs="Arial"/>
          <w:sz w:val="24"/>
          <w:szCs w:val="24"/>
          <w:lang w:val="es-ES_tradnl"/>
        </w:rPr>
        <w:t xml:space="preserve">la Resolución del CG, identificada con la clave CG-R-02/22, en la que se aprobó el registro </w:t>
      </w:r>
      <w:r w:rsidR="00806E7E" w:rsidRPr="000C549E">
        <w:rPr>
          <w:rFonts w:ascii="Arial Nova Light" w:hAnsi="Arial Nova Light" w:cs="Arial"/>
          <w:sz w:val="24"/>
          <w:szCs w:val="24"/>
          <w:lang w:val="es-ES_tradnl"/>
        </w:rPr>
        <w:t xml:space="preserve">condicionado </w:t>
      </w:r>
      <w:r w:rsidR="007B117C" w:rsidRPr="000C549E">
        <w:rPr>
          <w:rFonts w:ascii="Arial Nova Light" w:hAnsi="Arial Nova Light" w:cs="Arial"/>
          <w:sz w:val="24"/>
          <w:szCs w:val="24"/>
          <w:lang w:val="es-ES_tradnl"/>
        </w:rPr>
        <w:t xml:space="preserve">de un aspirante a una candidatura independiente en el actual proceso electoral local. </w:t>
      </w:r>
    </w:p>
    <w:p w14:paraId="4B414BA2" w14:textId="71EEFD2E" w:rsidR="00B8120E" w:rsidRPr="000C549E" w:rsidRDefault="00D406E7" w:rsidP="005B6952">
      <w:pPr>
        <w:numPr>
          <w:ilvl w:val="0"/>
          <w:numId w:val="1"/>
        </w:numPr>
        <w:pBdr>
          <w:top w:val="nil"/>
          <w:left w:val="nil"/>
          <w:bottom w:val="nil"/>
          <w:right w:val="nil"/>
          <w:between w:val="nil"/>
        </w:pBdr>
        <w:tabs>
          <w:tab w:val="left" w:pos="0"/>
        </w:tabs>
        <w:spacing w:after="280" w:line="360" w:lineRule="auto"/>
        <w:ind w:left="0" w:firstLine="0"/>
        <w:jc w:val="both"/>
        <w:rPr>
          <w:rFonts w:ascii="Arial Nova Light" w:eastAsia="Arial Nova" w:hAnsi="Arial Nova Light" w:cs="Arial"/>
          <w:sz w:val="24"/>
          <w:szCs w:val="24"/>
        </w:rPr>
      </w:pPr>
      <w:r w:rsidRPr="000C549E">
        <w:rPr>
          <w:rFonts w:ascii="Arial Nova Light" w:eastAsia="Arial Nova" w:hAnsi="Arial Nova Light" w:cs="Arial"/>
          <w:b/>
          <w:sz w:val="24"/>
          <w:szCs w:val="24"/>
        </w:rPr>
        <w:lastRenderedPageBreak/>
        <w:t>ANÁLISIS DE LA</w:t>
      </w:r>
      <w:r w:rsidR="005755CB" w:rsidRPr="000C549E">
        <w:rPr>
          <w:rFonts w:ascii="Arial Nova Light" w:eastAsia="Arial Nova" w:hAnsi="Arial Nova Light" w:cs="Arial"/>
          <w:b/>
          <w:sz w:val="24"/>
          <w:szCs w:val="24"/>
        </w:rPr>
        <w:t xml:space="preserve"> </w:t>
      </w:r>
      <w:r w:rsidR="00EC4063" w:rsidRPr="000C549E">
        <w:rPr>
          <w:rFonts w:ascii="Arial Nova Light" w:eastAsia="Arial Nova" w:hAnsi="Arial Nova Light" w:cs="Arial"/>
          <w:b/>
          <w:sz w:val="24"/>
          <w:szCs w:val="24"/>
        </w:rPr>
        <w:t xml:space="preserve">PROCEDENCIA.     </w:t>
      </w:r>
      <w:r w:rsidR="00785BF7" w:rsidRPr="000C549E">
        <w:rPr>
          <w:rFonts w:ascii="Arial Nova Light" w:eastAsia="Arial Nova" w:hAnsi="Arial Nova Light" w:cs="Arial"/>
          <w:bCs/>
          <w:sz w:val="24"/>
          <w:szCs w:val="24"/>
        </w:rPr>
        <w:t xml:space="preserve">A efecto de proceder </w:t>
      </w:r>
      <w:r w:rsidR="00B8120E" w:rsidRPr="000C549E">
        <w:rPr>
          <w:rFonts w:ascii="Arial Nova Light" w:eastAsia="Arial Nova" w:hAnsi="Arial Nova Light" w:cs="Arial"/>
          <w:bCs/>
          <w:sz w:val="24"/>
          <w:szCs w:val="24"/>
        </w:rPr>
        <w:t>con el estudio de fondo de los agravios planteados por el promovente</w:t>
      </w:r>
      <w:r w:rsidR="00785BF7" w:rsidRPr="000C549E">
        <w:rPr>
          <w:rFonts w:ascii="Arial Nova Light" w:eastAsia="Arial Nova" w:hAnsi="Arial Nova Light" w:cs="Arial"/>
          <w:bCs/>
          <w:sz w:val="24"/>
          <w:szCs w:val="24"/>
        </w:rPr>
        <w:t xml:space="preserve">, es oportuno revisar si se encuentran </w:t>
      </w:r>
      <w:r w:rsidR="00EC4063" w:rsidRPr="000C549E">
        <w:rPr>
          <w:rFonts w:ascii="Arial Nova Light" w:eastAsia="Arial Nova" w:hAnsi="Arial Nova Light" w:cs="Arial"/>
          <w:sz w:val="24"/>
          <w:szCs w:val="24"/>
        </w:rPr>
        <w:t>satisfechos los requisitos de procedibilidad del JDC previstos en el artículo 302</w:t>
      </w:r>
      <w:r w:rsidR="00D84B87" w:rsidRPr="000C549E">
        <w:rPr>
          <w:rFonts w:ascii="Arial Nova Light" w:eastAsia="Arial Nova" w:hAnsi="Arial Nova Light" w:cs="Arial"/>
          <w:sz w:val="24"/>
          <w:szCs w:val="24"/>
        </w:rPr>
        <w:t xml:space="preserve">, párrafo </w:t>
      </w:r>
      <w:r w:rsidR="005C6AA3" w:rsidRPr="000C549E">
        <w:rPr>
          <w:rFonts w:ascii="Arial Nova Light" w:eastAsia="Arial Nova" w:hAnsi="Arial Nova Light" w:cs="Arial"/>
          <w:sz w:val="24"/>
          <w:szCs w:val="24"/>
        </w:rPr>
        <w:t>primero y 307</w:t>
      </w:r>
      <w:r w:rsidR="00EC4063" w:rsidRPr="000C549E">
        <w:rPr>
          <w:rFonts w:ascii="Arial Nova Light" w:eastAsia="Arial Nova" w:hAnsi="Arial Nova Light" w:cs="Arial"/>
          <w:sz w:val="24"/>
          <w:szCs w:val="24"/>
        </w:rPr>
        <w:t xml:space="preserve"> del Código Electoral</w:t>
      </w:r>
      <w:r w:rsidR="005C6AA3" w:rsidRPr="000C549E">
        <w:rPr>
          <w:rFonts w:ascii="Arial Nova Light" w:eastAsia="Arial Nova" w:hAnsi="Arial Nova Light" w:cs="Arial"/>
          <w:sz w:val="24"/>
          <w:szCs w:val="24"/>
        </w:rPr>
        <w:t xml:space="preserve">, en relación con los diversos 1°, 2°, 10 y 11 de los </w:t>
      </w:r>
      <w:r w:rsidR="000C3C4E" w:rsidRPr="000C549E">
        <w:rPr>
          <w:rFonts w:ascii="Arial Nova Light" w:hAnsi="Arial Nova Light"/>
          <w:sz w:val="24"/>
          <w:szCs w:val="24"/>
        </w:rPr>
        <w:t>Lineamientos para la Tramitación, Sustanciación y Resolución del Juicio para la Protección de los Derechos Político-Electorales del Ciudadano, el Juicio Electoral y Asunto General.</w:t>
      </w:r>
    </w:p>
    <w:p w14:paraId="05842BD8" w14:textId="7513CA28" w:rsidR="00EC4063" w:rsidRPr="000C549E" w:rsidRDefault="00EC4063" w:rsidP="005B6952">
      <w:pPr>
        <w:pStyle w:val="Prrafodelista"/>
        <w:pBdr>
          <w:top w:val="nil"/>
          <w:left w:val="nil"/>
          <w:bottom w:val="nil"/>
          <w:right w:val="nil"/>
          <w:between w:val="nil"/>
        </w:pBdr>
        <w:tabs>
          <w:tab w:val="left" w:pos="0"/>
        </w:tabs>
        <w:spacing w:after="280" w:line="360" w:lineRule="auto"/>
        <w:ind w:left="0"/>
        <w:jc w:val="both"/>
        <w:rPr>
          <w:rFonts w:ascii="Arial Nova Light" w:eastAsia="Arial Nova" w:hAnsi="Arial Nova Light" w:cs="Arial"/>
          <w:sz w:val="24"/>
          <w:szCs w:val="24"/>
        </w:rPr>
      </w:pPr>
      <w:r w:rsidRPr="000C549E">
        <w:rPr>
          <w:rFonts w:ascii="Arial Nova Light" w:eastAsia="Arial Nova" w:hAnsi="Arial Nova Light" w:cs="Arial"/>
          <w:b/>
          <w:sz w:val="24"/>
          <w:szCs w:val="24"/>
        </w:rPr>
        <w:t xml:space="preserve">Forma. </w:t>
      </w:r>
      <w:r w:rsidRPr="000C549E">
        <w:rPr>
          <w:rFonts w:ascii="Arial Nova Light" w:eastAsia="Arial Nova" w:hAnsi="Arial Nova Light" w:cs="Arial"/>
          <w:sz w:val="24"/>
          <w:szCs w:val="24"/>
        </w:rPr>
        <w:t>La demanda fue presentada por escrito, se identific</w:t>
      </w:r>
      <w:r w:rsidR="006C6687" w:rsidRPr="000C549E">
        <w:rPr>
          <w:rFonts w:ascii="Arial Nova Light" w:eastAsia="Arial Nova" w:hAnsi="Arial Nova Light" w:cs="Arial"/>
          <w:sz w:val="24"/>
          <w:szCs w:val="24"/>
        </w:rPr>
        <w:t>ó</w:t>
      </w:r>
      <w:r w:rsidR="00B82643" w:rsidRPr="000C549E">
        <w:rPr>
          <w:rFonts w:ascii="Arial Nova Light" w:eastAsia="Arial Nova" w:hAnsi="Arial Nova Light" w:cs="Arial"/>
          <w:sz w:val="24"/>
          <w:szCs w:val="24"/>
        </w:rPr>
        <w:t xml:space="preserve"> </w:t>
      </w:r>
      <w:r w:rsidR="006C6687" w:rsidRPr="000C549E">
        <w:rPr>
          <w:rFonts w:ascii="Arial Nova Light" w:eastAsia="Arial Nova" w:hAnsi="Arial Nova Light" w:cs="Arial"/>
          <w:sz w:val="24"/>
          <w:szCs w:val="24"/>
        </w:rPr>
        <w:t>el</w:t>
      </w:r>
      <w:r w:rsidRPr="000C549E">
        <w:rPr>
          <w:rFonts w:ascii="Arial Nova Light" w:eastAsia="Arial Nova" w:hAnsi="Arial Nova Light" w:cs="Arial"/>
          <w:sz w:val="24"/>
          <w:szCs w:val="24"/>
        </w:rPr>
        <w:t xml:space="preserve"> acto impugnado, se expusieron los hechos y agravios en los que se basan </w:t>
      </w:r>
      <w:r w:rsidR="006C6687" w:rsidRPr="000C549E">
        <w:rPr>
          <w:rFonts w:ascii="Arial Nova Light" w:eastAsia="Arial Nova" w:hAnsi="Arial Nova Light" w:cs="Arial"/>
          <w:sz w:val="24"/>
          <w:szCs w:val="24"/>
        </w:rPr>
        <w:t>su pretensión</w:t>
      </w:r>
      <w:r w:rsidRPr="000C549E">
        <w:rPr>
          <w:rFonts w:ascii="Arial Nova Light" w:eastAsia="Arial Nova" w:hAnsi="Arial Nova Light" w:cs="Arial"/>
          <w:sz w:val="24"/>
          <w:szCs w:val="24"/>
        </w:rPr>
        <w:t xml:space="preserve">, los preceptos </w:t>
      </w:r>
      <w:r w:rsidR="006C6687" w:rsidRPr="000C549E">
        <w:rPr>
          <w:rFonts w:ascii="Arial Nova Light" w:eastAsia="Arial Nova" w:hAnsi="Arial Nova Light" w:cs="Arial"/>
          <w:sz w:val="24"/>
          <w:szCs w:val="24"/>
        </w:rPr>
        <w:t>que considera</w:t>
      </w:r>
      <w:r w:rsidRPr="000C549E">
        <w:rPr>
          <w:rFonts w:ascii="Arial Nova Light" w:eastAsia="Arial Nova" w:hAnsi="Arial Nova Light" w:cs="Arial"/>
          <w:sz w:val="24"/>
          <w:szCs w:val="24"/>
        </w:rPr>
        <w:t xml:space="preserve"> violados, así como </w:t>
      </w:r>
      <w:r w:rsidR="007633FA" w:rsidRPr="000C549E">
        <w:rPr>
          <w:rFonts w:ascii="Arial Nova Light" w:eastAsia="Arial Nova" w:hAnsi="Arial Nova Light" w:cs="Arial"/>
          <w:sz w:val="24"/>
          <w:szCs w:val="24"/>
        </w:rPr>
        <w:t>el</w:t>
      </w:r>
      <w:r w:rsidRPr="000C549E">
        <w:rPr>
          <w:rFonts w:ascii="Arial Nova Light" w:eastAsia="Arial Nova" w:hAnsi="Arial Nova Light" w:cs="Arial"/>
          <w:sz w:val="24"/>
          <w:szCs w:val="24"/>
        </w:rPr>
        <w:t xml:space="preserve"> nombre y firma autógrafas del promovente.</w:t>
      </w:r>
    </w:p>
    <w:p w14:paraId="3A92B571" w14:textId="7F88544C" w:rsidR="00EC4063" w:rsidRPr="000C549E" w:rsidRDefault="00EC4063" w:rsidP="005B6952">
      <w:pPr>
        <w:pBdr>
          <w:top w:val="nil"/>
          <w:left w:val="nil"/>
          <w:bottom w:val="nil"/>
          <w:right w:val="nil"/>
          <w:between w:val="nil"/>
        </w:pBdr>
        <w:tabs>
          <w:tab w:val="right" w:pos="567"/>
        </w:tabs>
        <w:spacing w:after="0" w:line="360" w:lineRule="auto"/>
        <w:jc w:val="both"/>
        <w:rPr>
          <w:rFonts w:ascii="Arial Nova Light" w:eastAsia="Arial Nova" w:hAnsi="Arial Nova Light" w:cs="Arial"/>
          <w:sz w:val="24"/>
          <w:szCs w:val="24"/>
        </w:rPr>
      </w:pPr>
      <w:r w:rsidRPr="000C549E">
        <w:rPr>
          <w:rFonts w:ascii="Arial Nova Light" w:eastAsia="Arial Nova" w:hAnsi="Arial Nova Light" w:cs="Arial"/>
          <w:b/>
          <w:sz w:val="24"/>
          <w:szCs w:val="24"/>
        </w:rPr>
        <w:t xml:space="preserve">Oportunidad. </w:t>
      </w:r>
      <w:r w:rsidR="007633FA" w:rsidRPr="000C549E">
        <w:rPr>
          <w:rFonts w:ascii="Arial Nova Light" w:eastAsia="Arial Nova" w:hAnsi="Arial Nova Light" w:cs="Arial"/>
          <w:bCs/>
          <w:sz w:val="24"/>
          <w:szCs w:val="24"/>
        </w:rPr>
        <w:t xml:space="preserve">Se tiene por interpuesto en tiempo el medio de impugnación, ya que, como consta en autos, </w:t>
      </w:r>
      <w:r w:rsidR="004E7AB7" w:rsidRPr="000C549E">
        <w:rPr>
          <w:rFonts w:ascii="Arial Nova Light" w:eastAsia="Arial Nova" w:hAnsi="Arial Nova Light" w:cs="Arial"/>
          <w:bCs/>
          <w:sz w:val="24"/>
          <w:szCs w:val="24"/>
        </w:rPr>
        <w:t xml:space="preserve">el medio fue presentado el día </w:t>
      </w:r>
      <w:r w:rsidR="003D4C8F" w:rsidRPr="000C549E">
        <w:rPr>
          <w:rFonts w:ascii="Arial Nova Light" w:eastAsia="Arial Nova" w:hAnsi="Arial Nova Light" w:cs="Arial"/>
          <w:bCs/>
          <w:sz w:val="24"/>
          <w:szCs w:val="24"/>
        </w:rPr>
        <w:t>doce de enero</w:t>
      </w:r>
      <w:r w:rsidR="000C2A2C" w:rsidRPr="000C549E">
        <w:rPr>
          <w:rFonts w:ascii="Arial Nova Light" w:eastAsia="Arial Nova" w:hAnsi="Arial Nova Light" w:cs="Arial"/>
          <w:bCs/>
          <w:sz w:val="24"/>
          <w:szCs w:val="24"/>
        </w:rPr>
        <w:t xml:space="preserve">, dentro del plazo legal para impugnar, es decir dentro de los cuatro días siguientes a </w:t>
      </w:r>
      <w:r w:rsidR="003D4C8F" w:rsidRPr="000C549E">
        <w:rPr>
          <w:rFonts w:ascii="Arial Nova Light" w:eastAsia="Arial Nova" w:hAnsi="Arial Nova Light" w:cs="Arial"/>
          <w:bCs/>
          <w:sz w:val="24"/>
          <w:szCs w:val="24"/>
        </w:rPr>
        <w:t>la emisión del acto y su</w:t>
      </w:r>
      <w:r w:rsidR="000C2A2C" w:rsidRPr="000C549E">
        <w:rPr>
          <w:rFonts w:ascii="Arial Nova Light" w:eastAsia="Arial Nova" w:hAnsi="Arial Nova Light" w:cs="Arial"/>
          <w:bCs/>
          <w:sz w:val="24"/>
          <w:szCs w:val="24"/>
        </w:rPr>
        <w:t xml:space="preserve"> notificación</w:t>
      </w:r>
      <w:r w:rsidR="003D4C8F" w:rsidRPr="000C549E">
        <w:rPr>
          <w:rFonts w:ascii="Arial Nova Light" w:eastAsia="Arial Nova" w:hAnsi="Arial Nova Light" w:cs="Arial"/>
          <w:bCs/>
          <w:sz w:val="24"/>
          <w:szCs w:val="24"/>
        </w:rPr>
        <w:t xml:space="preserve"> por estrados</w:t>
      </w:r>
      <w:r w:rsidR="000C2A2C" w:rsidRPr="000C549E">
        <w:rPr>
          <w:rFonts w:ascii="Arial Nova Light" w:eastAsia="Arial Nova" w:hAnsi="Arial Nova Light" w:cs="Arial"/>
          <w:bCs/>
          <w:sz w:val="24"/>
          <w:szCs w:val="24"/>
        </w:rPr>
        <w:t xml:space="preserve">. </w:t>
      </w:r>
      <w:r w:rsidR="004E7AB7" w:rsidRPr="000C549E">
        <w:rPr>
          <w:rFonts w:ascii="Arial Nova Light" w:eastAsia="Arial Nova" w:hAnsi="Arial Nova Light" w:cs="Arial"/>
          <w:bCs/>
          <w:sz w:val="24"/>
          <w:szCs w:val="24"/>
        </w:rPr>
        <w:t xml:space="preserve"> </w:t>
      </w:r>
    </w:p>
    <w:p w14:paraId="3C7EE266" w14:textId="77777777" w:rsidR="00B44840" w:rsidRPr="000C549E" w:rsidRDefault="00B44840" w:rsidP="006D35DC">
      <w:pPr>
        <w:pBdr>
          <w:top w:val="nil"/>
          <w:left w:val="nil"/>
          <w:bottom w:val="nil"/>
          <w:right w:val="nil"/>
          <w:between w:val="nil"/>
        </w:pBdr>
        <w:tabs>
          <w:tab w:val="left" w:pos="0"/>
        </w:tabs>
        <w:spacing w:after="0" w:line="360" w:lineRule="auto"/>
        <w:jc w:val="both"/>
        <w:rPr>
          <w:rFonts w:ascii="Arial Nova Light" w:eastAsia="Arial Nova" w:hAnsi="Arial Nova Light" w:cs="Arial"/>
          <w:b/>
          <w:sz w:val="24"/>
          <w:szCs w:val="24"/>
        </w:rPr>
      </w:pPr>
    </w:p>
    <w:p w14:paraId="0BF0376F" w14:textId="503B6F8C" w:rsidR="00F45233" w:rsidRPr="000C549E" w:rsidRDefault="005755CB" w:rsidP="006D35DC">
      <w:pPr>
        <w:pStyle w:val="Prrafodelista"/>
        <w:numPr>
          <w:ilvl w:val="0"/>
          <w:numId w:val="1"/>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w:bCs/>
          <w:sz w:val="24"/>
          <w:szCs w:val="24"/>
        </w:rPr>
      </w:pPr>
      <w:r w:rsidRPr="000C549E">
        <w:rPr>
          <w:rFonts w:ascii="Arial Nova Light" w:eastAsia="Arial Nova" w:hAnsi="Arial Nova Light" w:cs="Arial"/>
          <w:b/>
          <w:sz w:val="24"/>
          <w:szCs w:val="24"/>
        </w:rPr>
        <w:t xml:space="preserve">CAUSALES DE </w:t>
      </w:r>
      <w:r w:rsidR="00C00D1E" w:rsidRPr="000C549E">
        <w:rPr>
          <w:rFonts w:ascii="Arial Nova Light" w:eastAsia="Arial Nova" w:hAnsi="Arial Nova Light" w:cs="Arial"/>
          <w:b/>
          <w:sz w:val="24"/>
          <w:szCs w:val="24"/>
        </w:rPr>
        <w:t xml:space="preserve">IMPROCEDENCIA. </w:t>
      </w:r>
      <w:r w:rsidR="000D2B9E" w:rsidRPr="000C549E">
        <w:rPr>
          <w:rFonts w:ascii="Arial Nova Light" w:eastAsia="Arial Nova" w:hAnsi="Arial Nova Light" w:cs="Arial"/>
          <w:b/>
          <w:sz w:val="24"/>
          <w:szCs w:val="24"/>
        </w:rPr>
        <w:t xml:space="preserve"> </w:t>
      </w:r>
      <w:r w:rsidR="001D310D" w:rsidRPr="000C549E">
        <w:rPr>
          <w:rFonts w:ascii="Arial Nova Light" w:eastAsia="Arial Nova" w:hAnsi="Arial Nova Light" w:cs="Arial"/>
          <w:bCs/>
          <w:sz w:val="24"/>
          <w:szCs w:val="24"/>
        </w:rPr>
        <w:t xml:space="preserve">Previo al estudio de fondo, por tratarse de una cuestión de orden público y de estudio preferente, se procede a analizar las causales de improcedencia o de sobreseimiento que pudieran actualizarse, en términos de lo previsto por el artículo 303, 304 y 305 del Código Electoral. </w:t>
      </w:r>
    </w:p>
    <w:p w14:paraId="65ECF712" w14:textId="77777777" w:rsidR="001D310D" w:rsidRPr="000C549E" w:rsidRDefault="001D310D" w:rsidP="005B6952">
      <w:pPr>
        <w:pBdr>
          <w:top w:val="nil"/>
          <w:left w:val="nil"/>
          <w:bottom w:val="nil"/>
          <w:right w:val="nil"/>
          <w:between w:val="nil"/>
        </w:pBdr>
        <w:tabs>
          <w:tab w:val="left" w:pos="0"/>
        </w:tabs>
        <w:spacing w:after="0" w:line="360" w:lineRule="auto"/>
        <w:jc w:val="both"/>
        <w:rPr>
          <w:rFonts w:ascii="Arial Nova Light" w:eastAsia="Arial Nova" w:hAnsi="Arial Nova Light" w:cs="Arial"/>
          <w:b/>
          <w:sz w:val="24"/>
          <w:szCs w:val="24"/>
        </w:rPr>
      </w:pPr>
    </w:p>
    <w:p w14:paraId="69D3A2E3" w14:textId="562B113A" w:rsidR="00D560C2" w:rsidRDefault="007E2F45" w:rsidP="005B6952">
      <w:pPr>
        <w:pStyle w:val="Prrafodelista"/>
        <w:numPr>
          <w:ilvl w:val="3"/>
          <w:numId w:val="1"/>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w:sz w:val="24"/>
          <w:szCs w:val="24"/>
        </w:rPr>
      </w:pPr>
      <w:r w:rsidRPr="000C549E">
        <w:rPr>
          <w:rFonts w:ascii="Arial Nova Light" w:eastAsia="Arial Nova" w:hAnsi="Arial Nova Light" w:cs="Arial"/>
          <w:b/>
          <w:sz w:val="24"/>
          <w:szCs w:val="24"/>
        </w:rPr>
        <w:t xml:space="preserve">PRECISIÓN DEL ACTO IMPUGNADO.  </w:t>
      </w:r>
      <w:r w:rsidR="00FF3A06" w:rsidRPr="000C549E">
        <w:rPr>
          <w:rFonts w:ascii="Arial Nova Light" w:eastAsia="Arial Nova" w:hAnsi="Arial Nova Light" w:cs="Arial"/>
          <w:bCs/>
          <w:sz w:val="24"/>
          <w:szCs w:val="24"/>
        </w:rPr>
        <w:t>E</w:t>
      </w:r>
      <w:r w:rsidR="00FF3A06" w:rsidRPr="000C549E">
        <w:rPr>
          <w:rFonts w:ascii="Arial Nova Light" w:eastAsia="Arial Nova" w:hAnsi="Arial Nova Light" w:cs="Arial"/>
          <w:sz w:val="24"/>
          <w:szCs w:val="24"/>
        </w:rPr>
        <w:t xml:space="preserve">ste Órgano Jurisdiccional tiene el deber de leer cuidadosa y detenidamente la demanda, </w:t>
      </w:r>
      <w:r w:rsidR="00D560C2" w:rsidRPr="000C549E">
        <w:rPr>
          <w:rFonts w:ascii="Arial Nova Light" w:eastAsia="Arial Nova" w:hAnsi="Arial Nova Light" w:cs="Arial"/>
          <w:sz w:val="24"/>
          <w:szCs w:val="24"/>
        </w:rPr>
        <w:t xml:space="preserve">y, además, en cuanto sea posible por los elementos que obran en autos, suplir la deficiencia de la queja, </w:t>
      </w:r>
      <w:r w:rsidR="00FF3A06" w:rsidRPr="000C549E">
        <w:rPr>
          <w:rFonts w:ascii="Arial Nova Light" w:eastAsia="Arial Nova" w:hAnsi="Arial Nova Light" w:cs="Arial"/>
          <w:sz w:val="24"/>
          <w:szCs w:val="24"/>
        </w:rPr>
        <w:t xml:space="preserve">precisando el acto que se impugna, </w:t>
      </w:r>
      <w:r w:rsidR="00472EBE" w:rsidRPr="000C549E">
        <w:rPr>
          <w:rFonts w:ascii="Arial Nova Light" w:eastAsia="Arial Nova" w:hAnsi="Arial Nova Light" w:cs="Arial"/>
          <w:sz w:val="24"/>
          <w:szCs w:val="24"/>
        </w:rPr>
        <w:t xml:space="preserve">así como los agravios planteaos, </w:t>
      </w:r>
      <w:r w:rsidR="00FF3A06" w:rsidRPr="000C549E">
        <w:rPr>
          <w:rFonts w:ascii="Arial Nova Light" w:eastAsia="Arial Nova" w:hAnsi="Arial Nova Light" w:cs="Arial"/>
          <w:sz w:val="24"/>
          <w:szCs w:val="24"/>
        </w:rPr>
        <w:t xml:space="preserve">a fin de </w:t>
      </w:r>
      <w:r w:rsidRPr="000C549E">
        <w:rPr>
          <w:rFonts w:ascii="Arial Nova Light" w:eastAsia="Arial Nova" w:hAnsi="Arial Nova Light" w:cs="Arial"/>
          <w:sz w:val="24"/>
          <w:szCs w:val="24"/>
        </w:rPr>
        <w:t>determinar con exactitud la intención del promovente</w:t>
      </w:r>
      <w:r w:rsidRPr="000C549E">
        <w:rPr>
          <w:rFonts w:ascii="Arial Nova Light" w:hAnsi="Arial Nova Light" w:cs="Arial"/>
          <w:sz w:val="24"/>
          <w:szCs w:val="24"/>
          <w:vertAlign w:val="superscript"/>
        </w:rPr>
        <w:footnoteReference w:id="1"/>
      </w:r>
      <w:r w:rsidRPr="000C549E">
        <w:rPr>
          <w:rFonts w:ascii="Arial Nova Light" w:eastAsia="Arial Nova" w:hAnsi="Arial Nova Light" w:cs="Arial"/>
          <w:sz w:val="24"/>
          <w:szCs w:val="24"/>
        </w:rPr>
        <w:t xml:space="preserve">. </w:t>
      </w:r>
    </w:p>
    <w:p w14:paraId="4D40AEEB" w14:textId="2F3C3519" w:rsidR="00711343" w:rsidRDefault="00711343" w:rsidP="00711343">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
          <w:sz w:val="24"/>
          <w:szCs w:val="24"/>
        </w:rPr>
      </w:pPr>
    </w:p>
    <w:p w14:paraId="33CDC158" w14:textId="3ADBFC07" w:rsidR="00711343" w:rsidRDefault="00711343" w:rsidP="00711343">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Cs/>
          <w:sz w:val="24"/>
          <w:szCs w:val="24"/>
        </w:rPr>
      </w:pPr>
      <w:r>
        <w:rPr>
          <w:rFonts w:ascii="Arial Nova Light" w:eastAsia="Arial Nova" w:hAnsi="Arial Nova Light" w:cs="Arial"/>
          <w:bCs/>
          <w:sz w:val="24"/>
          <w:szCs w:val="24"/>
        </w:rPr>
        <w:t xml:space="preserve">En contexto, el C. Eric Monroy Sánchez, solicitó ante el IEE, su registro como aspirante a la candidatura a gubernatura. </w:t>
      </w:r>
      <w:r w:rsidR="00CC5281">
        <w:rPr>
          <w:rFonts w:ascii="Arial Nova Light" w:eastAsia="Arial Nova" w:hAnsi="Arial Nova Light" w:cs="Arial"/>
          <w:bCs/>
          <w:sz w:val="24"/>
          <w:szCs w:val="24"/>
        </w:rPr>
        <w:t xml:space="preserve">De tal suerte, la autoridad administrativa otorgó un registro condicionado en la resolución CG-R-87/21, a efecto que cumpliera con los requisitos faltantes. </w:t>
      </w:r>
    </w:p>
    <w:p w14:paraId="24606B91" w14:textId="220B570B" w:rsidR="00CC5281" w:rsidRDefault="00CC5281" w:rsidP="00711343">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Cs/>
          <w:sz w:val="24"/>
          <w:szCs w:val="24"/>
        </w:rPr>
      </w:pPr>
    </w:p>
    <w:p w14:paraId="281711C5" w14:textId="1A277779" w:rsidR="00CC5281" w:rsidRPr="00711343" w:rsidRDefault="00CC5281" w:rsidP="00711343">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Cs/>
          <w:sz w:val="24"/>
          <w:szCs w:val="24"/>
        </w:rPr>
      </w:pPr>
      <w:r>
        <w:rPr>
          <w:rFonts w:ascii="Arial Nova Light" w:eastAsia="Arial Nova" w:hAnsi="Arial Nova Light" w:cs="Arial"/>
          <w:bCs/>
          <w:sz w:val="24"/>
          <w:szCs w:val="24"/>
        </w:rPr>
        <w:t xml:space="preserve">De esa manera, </w:t>
      </w:r>
      <w:r w:rsidR="00FC7D4A">
        <w:rPr>
          <w:rFonts w:ascii="Arial Nova Light" w:eastAsia="Arial Nova" w:hAnsi="Arial Nova Light" w:cs="Arial"/>
          <w:bCs/>
          <w:sz w:val="24"/>
          <w:szCs w:val="24"/>
        </w:rPr>
        <w:t xml:space="preserve">el aspirante a la candidatura, presentó su documentación a fin de dar cumplimiento al requerimiento, </w:t>
      </w:r>
      <w:r w:rsidR="00F1501D">
        <w:rPr>
          <w:rFonts w:ascii="Arial Nova Light" w:eastAsia="Arial Nova" w:hAnsi="Arial Nova Light" w:cs="Arial"/>
          <w:bCs/>
          <w:sz w:val="24"/>
          <w:szCs w:val="24"/>
        </w:rPr>
        <w:t xml:space="preserve">obteniendo así, la respuesta favorable a su registro en la resolución que ahora se pretende combatir. </w:t>
      </w:r>
    </w:p>
    <w:p w14:paraId="2763B125" w14:textId="13336F1F" w:rsidR="00D560C2" w:rsidRPr="000C549E" w:rsidRDefault="00D560C2"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
          <w:sz w:val="24"/>
          <w:szCs w:val="24"/>
        </w:rPr>
      </w:pPr>
    </w:p>
    <w:p w14:paraId="373ABED8" w14:textId="3906EA5B" w:rsidR="002603D4" w:rsidRPr="000C549E" w:rsidRDefault="00F1501D"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Cs/>
          <w:sz w:val="24"/>
          <w:szCs w:val="24"/>
        </w:rPr>
      </w:pPr>
      <w:r>
        <w:rPr>
          <w:rFonts w:ascii="Arial Nova Light" w:eastAsia="Arial Nova" w:hAnsi="Arial Nova Light" w:cs="Arial"/>
          <w:bCs/>
          <w:sz w:val="24"/>
          <w:szCs w:val="24"/>
        </w:rPr>
        <w:t>Así, e</w:t>
      </w:r>
      <w:r w:rsidR="00577BFD" w:rsidRPr="000C549E">
        <w:rPr>
          <w:rFonts w:ascii="Arial Nova Light" w:eastAsia="Arial Nova" w:hAnsi="Arial Nova Light" w:cs="Arial"/>
          <w:bCs/>
          <w:sz w:val="24"/>
          <w:szCs w:val="24"/>
        </w:rPr>
        <w:t>n</w:t>
      </w:r>
      <w:r w:rsidR="00357BC5" w:rsidRPr="000C549E">
        <w:rPr>
          <w:rFonts w:ascii="Arial Nova Light" w:eastAsia="Arial Nova" w:hAnsi="Arial Nova Light" w:cs="Arial"/>
          <w:bCs/>
          <w:sz w:val="24"/>
          <w:szCs w:val="24"/>
        </w:rPr>
        <w:t xml:space="preserve"> la demanda presentada, e</w:t>
      </w:r>
      <w:r w:rsidR="002603D4" w:rsidRPr="000C549E">
        <w:rPr>
          <w:rFonts w:ascii="Arial Nova Light" w:eastAsia="Arial Nova" w:hAnsi="Arial Nova Light" w:cs="Arial"/>
          <w:bCs/>
          <w:sz w:val="24"/>
          <w:szCs w:val="24"/>
        </w:rPr>
        <w:t xml:space="preserve">l promovente </w:t>
      </w:r>
      <w:r w:rsidR="00CC5AEA" w:rsidRPr="000C549E">
        <w:rPr>
          <w:rFonts w:ascii="Arial Nova Light" w:eastAsia="Arial Nova" w:hAnsi="Arial Nova Light" w:cs="Arial"/>
          <w:bCs/>
          <w:sz w:val="24"/>
          <w:szCs w:val="24"/>
        </w:rPr>
        <w:t>medularmente se</w:t>
      </w:r>
      <w:r w:rsidR="00577BFD" w:rsidRPr="000C549E">
        <w:rPr>
          <w:rFonts w:ascii="Arial Nova Light" w:eastAsia="Arial Nova" w:hAnsi="Arial Nova Light" w:cs="Arial"/>
          <w:bCs/>
          <w:sz w:val="24"/>
          <w:szCs w:val="24"/>
        </w:rPr>
        <w:t xml:space="preserve">ñala que la resolución </w:t>
      </w:r>
      <w:r w:rsidR="00577BFD" w:rsidRPr="000C549E">
        <w:rPr>
          <w:rFonts w:ascii="Arial Nova Light" w:hAnsi="Arial Nova Light"/>
        </w:rPr>
        <w:t xml:space="preserve">CG-R-02/22 </w:t>
      </w:r>
      <w:r w:rsidR="00577BFD" w:rsidRPr="000C549E">
        <w:rPr>
          <w:rFonts w:ascii="Arial Nova Light" w:eastAsia="Arial Nova" w:hAnsi="Arial Nova Light" w:cs="Arial"/>
          <w:bCs/>
          <w:sz w:val="24"/>
          <w:szCs w:val="24"/>
        </w:rPr>
        <w:t xml:space="preserve">es ilegal porque a su consideración: </w:t>
      </w:r>
      <w:r w:rsidR="00CC5AEA" w:rsidRPr="000C549E">
        <w:rPr>
          <w:rFonts w:ascii="Arial Nova Light" w:eastAsia="Arial Nova" w:hAnsi="Arial Nova Light" w:cs="Arial"/>
          <w:bCs/>
          <w:sz w:val="24"/>
          <w:szCs w:val="24"/>
        </w:rPr>
        <w:t xml:space="preserve"> </w:t>
      </w:r>
    </w:p>
    <w:p w14:paraId="0643A061" w14:textId="1ED4DC5F" w:rsidR="0038028F" w:rsidRPr="000C549E" w:rsidRDefault="00577BFD" w:rsidP="00531078">
      <w:pPr>
        <w:pStyle w:val="Prrafodelista"/>
        <w:numPr>
          <w:ilvl w:val="0"/>
          <w:numId w:val="8"/>
        </w:numPr>
        <w:spacing w:after="160" w:line="360" w:lineRule="auto"/>
        <w:ind w:left="567" w:right="992"/>
        <w:jc w:val="both"/>
        <w:rPr>
          <w:rFonts w:ascii="Arial Nova Light" w:hAnsi="Arial Nova Light"/>
          <w:i/>
          <w:iCs/>
        </w:rPr>
      </w:pPr>
      <w:r w:rsidRPr="000C549E">
        <w:rPr>
          <w:rFonts w:ascii="Arial Nova Light" w:hAnsi="Arial Nova Light"/>
          <w:i/>
          <w:iCs/>
        </w:rPr>
        <w:lastRenderedPageBreak/>
        <w:t>A</w:t>
      </w:r>
      <w:r w:rsidR="0038028F" w:rsidRPr="000C549E">
        <w:rPr>
          <w:rFonts w:ascii="Arial Nova Light" w:hAnsi="Arial Nova Light"/>
          <w:i/>
          <w:iCs/>
        </w:rPr>
        <w:t xml:space="preserve">tenta contra de los principios de </w:t>
      </w:r>
      <w:r w:rsidR="0038028F" w:rsidRPr="000C549E">
        <w:rPr>
          <w:rFonts w:ascii="Arial Nova Light" w:hAnsi="Arial Nova Light"/>
          <w:b/>
          <w:bCs/>
          <w:i/>
          <w:iCs/>
        </w:rPr>
        <w:t>equidad, imparcialidad, definitividad y legalidad</w:t>
      </w:r>
      <w:r w:rsidR="0038028F" w:rsidRPr="000C549E">
        <w:rPr>
          <w:rFonts w:ascii="Arial Nova Light" w:hAnsi="Arial Nova Light"/>
          <w:i/>
          <w:iCs/>
        </w:rPr>
        <w:t xml:space="preserve"> inherentes a la función de organizar elecciones por parte del IEE</w:t>
      </w:r>
      <w:r w:rsidR="000D5B3B" w:rsidRPr="000C549E">
        <w:rPr>
          <w:rFonts w:ascii="Arial Nova Light" w:hAnsi="Arial Nova Light"/>
          <w:i/>
          <w:iCs/>
        </w:rPr>
        <w:t xml:space="preserve">, pues a su juicio, </w:t>
      </w:r>
      <w:r w:rsidR="0038028F" w:rsidRPr="000C549E">
        <w:rPr>
          <w:rFonts w:ascii="Arial Nova Light" w:hAnsi="Arial Nova Light"/>
          <w:i/>
          <w:iCs/>
        </w:rPr>
        <w:t xml:space="preserve">el C. Eric Monroy Sánchez </w:t>
      </w:r>
      <w:r w:rsidR="0038028F" w:rsidRPr="000C549E">
        <w:rPr>
          <w:rFonts w:ascii="Arial Nova Light" w:hAnsi="Arial Nova Light"/>
          <w:b/>
          <w:bCs/>
          <w:i/>
          <w:iCs/>
        </w:rPr>
        <w:t>no cumplió con todos los requisitos necesarios para otorgarle la calidad de aspirante</w:t>
      </w:r>
      <w:r w:rsidR="0038028F" w:rsidRPr="000C549E">
        <w:rPr>
          <w:rFonts w:ascii="Arial Nova Light" w:hAnsi="Arial Nova Light"/>
          <w:i/>
          <w:iCs/>
        </w:rPr>
        <w:t xml:space="preserve"> a candidato independiente a la Gubernatura del Estado</w:t>
      </w:r>
      <w:r w:rsidR="000D5B3B" w:rsidRPr="000C549E">
        <w:rPr>
          <w:rFonts w:ascii="Arial Nova Light" w:hAnsi="Arial Nova Light"/>
          <w:i/>
          <w:iCs/>
        </w:rPr>
        <w:t xml:space="preserve">. </w:t>
      </w:r>
    </w:p>
    <w:p w14:paraId="7E33501E" w14:textId="1AF08985" w:rsidR="0038028F" w:rsidRPr="000C549E" w:rsidRDefault="000D5B3B" w:rsidP="00531078">
      <w:pPr>
        <w:pStyle w:val="Prrafodelista"/>
        <w:numPr>
          <w:ilvl w:val="0"/>
          <w:numId w:val="8"/>
        </w:numPr>
        <w:spacing w:after="160" w:line="360" w:lineRule="auto"/>
        <w:ind w:left="567" w:right="992"/>
        <w:jc w:val="both"/>
        <w:rPr>
          <w:rFonts w:ascii="Arial Nova Light" w:hAnsi="Arial Nova Light"/>
          <w:i/>
          <w:iCs/>
        </w:rPr>
      </w:pPr>
      <w:r w:rsidRPr="000C549E">
        <w:rPr>
          <w:rFonts w:ascii="Arial Nova Light" w:hAnsi="Arial Nova Light"/>
          <w:i/>
          <w:iCs/>
        </w:rPr>
        <w:t>Que</w:t>
      </w:r>
      <w:r w:rsidR="0038028F" w:rsidRPr="000C549E">
        <w:rPr>
          <w:rFonts w:ascii="Arial Nova Light" w:hAnsi="Arial Nova Light"/>
          <w:b/>
          <w:bCs/>
          <w:i/>
          <w:iCs/>
        </w:rPr>
        <w:t xml:space="preserve"> IEE otorgó una prorroga al C. Eric Monroy Sánchez para el cumplimiento de los requisitos que no cubrió,</w:t>
      </w:r>
      <w:r w:rsidR="0038028F" w:rsidRPr="000C549E">
        <w:rPr>
          <w:rFonts w:ascii="Arial Nova Light" w:hAnsi="Arial Nova Light"/>
          <w:i/>
          <w:iCs/>
        </w:rPr>
        <w:t xml:space="preserve"> a fin de que, a más tardar el veintinueve de diciembre, cumpliera con los requisitos faltantes, cuestión que no sucedió. </w:t>
      </w:r>
    </w:p>
    <w:p w14:paraId="2506E3E2" w14:textId="2EB56A4F" w:rsidR="0038028F" w:rsidRPr="000C549E" w:rsidRDefault="0038028F" w:rsidP="00531078">
      <w:pPr>
        <w:pStyle w:val="Prrafodelista"/>
        <w:numPr>
          <w:ilvl w:val="0"/>
          <w:numId w:val="8"/>
        </w:numPr>
        <w:spacing w:after="160" w:line="360" w:lineRule="auto"/>
        <w:ind w:left="567" w:right="992"/>
        <w:jc w:val="both"/>
        <w:rPr>
          <w:rFonts w:ascii="Arial Nova Light" w:hAnsi="Arial Nova Light"/>
          <w:i/>
          <w:iCs/>
        </w:rPr>
      </w:pPr>
      <w:r w:rsidRPr="000C549E">
        <w:rPr>
          <w:rFonts w:ascii="Arial Nova Light" w:hAnsi="Arial Nova Light"/>
          <w:i/>
          <w:iCs/>
        </w:rPr>
        <w:t xml:space="preserve">Que el IEE, transgrede los principios </w:t>
      </w:r>
      <w:r w:rsidRPr="000C549E">
        <w:rPr>
          <w:rFonts w:ascii="Arial Nova Light" w:hAnsi="Arial Nova Light"/>
          <w:b/>
          <w:bCs/>
          <w:i/>
          <w:iCs/>
        </w:rPr>
        <w:t>de equidad e imparcialidad</w:t>
      </w:r>
      <w:r w:rsidRPr="000C549E">
        <w:rPr>
          <w:rFonts w:ascii="Arial Nova Light" w:hAnsi="Arial Nova Light"/>
          <w:i/>
          <w:iCs/>
        </w:rPr>
        <w:t>, dando un trato preferencial al C. Eric Monroy</w:t>
      </w:r>
      <w:r w:rsidR="00D74D72" w:rsidRPr="000C549E">
        <w:rPr>
          <w:rFonts w:ascii="Arial Nova Light" w:hAnsi="Arial Nova Light"/>
          <w:i/>
          <w:iCs/>
        </w:rPr>
        <w:t>.</w:t>
      </w:r>
    </w:p>
    <w:p w14:paraId="04459638" w14:textId="56384967" w:rsidR="0038028F" w:rsidRPr="000C549E" w:rsidRDefault="0038028F" w:rsidP="00531078">
      <w:pPr>
        <w:pStyle w:val="Prrafodelista"/>
        <w:numPr>
          <w:ilvl w:val="0"/>
          <w:numId w:val="8"/>
        </w:numPr>
        <w:spacing w:after="160" w:line="360" w:lineRule="auto"/>
        <w:ind w:left="567" w:right="992"/>
        <w:jc w:val="both"/>
        <w:rPr>
          <w:rFonts w:ascii="Arial Nova Light" w:hAnsi="Arial Nova Light"/>
          <w:i/>
          <w:iCs/>
        </w:rPr>
      </w:pPr>
      <w:r w:rsidRPr="000C549E">
        <w:rPr>
          <w:rFonts w:ascii="Arial Nova Light" w:hAnsi="Arial Nova Light"/>
          <w:i/>
          <w:iCs/>
        </w:rPr>
        <w:t>Que, transgrede el principio de legalidad, al</w:t>
      </w:r>
      <w:r w:rsidRPr="000C549E">
        <w:rPr>
          <w:rFonts w:ascii="Arial Nova Light" w:hAnsi="Arial Nova Light"/>
          <w:b/>
          <w:bCs/>
          <w:i/>
          <w:iCs/>
        </w:rPr>
        <w:t xml:space="preserve"> otorgar una segunda prórroga</w:t>
      </w:r>
      <w:r w:rsidRPr="000C549E">
        <w:rPr>
          <w:rFonts w:ascii="Arial Nova Light" w:hAnsi="Arial Nova Light"/>
          <w:i/>
          <w:iCs/>
        </w:rPr>
        <w:t xml:space="preserve"> para permitir </w:t>
      </w:r>
      <w:r w:rsidR="00D74D72" w:rsidRPr="000C549E">
        <w:rPr>
          <w:rFonts w:ascii="Arial Nova Light" w:hAnsi="Arial Nova Light"/>
          <w:i/>
          <w:iCs/>
        </w:rPr>
        <w:t>que</w:t>
      </w:r>
      <w:r w:rsidRPr="000C549E">
        <w:rPr>
          <w:rFonts w:ascii="Arial Nova Light" w:hAnsi="Arial Nova Light"/>
          <w:i/>
          <w:iCs/>
        </w:rPr>
        <w:t xml:space="preserve"> C. Eric Monroy Sánchez obtenga la calidad de aspirante a la candidatura independiente</w:t>
      </w:r>
    </w:p>
    <w:p w14:paraId="7701D8BA" w14:textId="32D2E063" w:rsidR="0038028F" w:rsidRPr="000C549E" w:rsidRDefault="0038028F" w:rsidP="00531078">
      <w:pPr>
        <w:pStyle w:val="Prrafodelista"/>
        <w:numPr>
          <w:ilvl w:val="0"/>
          <w:numId w:val="8"/>
        </w:numPr>
        <w:spacing w:after="160" w:line="360" w:lineRule="auto"/>
        <w:ind w:left="567" w:right="992"/>
        <w:jc w:val="both"/>
        <w:rPr>
          <w:rFonts w:ascii="Arial Nova Light" w:hAnsi="Arial Nova Light"/>
          <w:i/>
          <w:iCs/>
        </w:rPr>
      </w:pPr>
      <w:r w:rsidRPr="000C549E">
        <w:rPr>
          <w:rFonts w:ascii="Arial Nova Light" w:hAnsi="Arial Nova Light"/>
          <w:b/>
          <w:bCs/>
          <w:i/>
          <w:iCs/>
        </w:rPr>
        <w:t>El IEE sin contar con atribuciones, está inaplicando</w:t>
      </w:r>
      <w:r w:rsidRPr="000C549E">
        <w:rPr>
          <w:rFonts w:ascii="Arial Nova Light" w:hAnsi="Arial Nova Light"/>
          <w:i/>
          <w:iCs/>
        </w:rPr>
        <w:t xml:space="preserve"> disposiciones obligatorias del Código Electoral, como el artículo 382</w:t>
      </w:r>
      <w:r w:rsidR="00024494" w:rsidRPr="000C549E">
        <w:rPr>
          <w:rFonts w:ascii="Arial Nova Light" w:hAnsi="Arial Nova Light"/>
          <w:i/>
          <w:iCs/>
        </w:rPr>
        <w:t xml:space="preserve">. </w:t>
      </w:r>
    </w:p>
    <w:p w14:paraId="6DB8518C" w14:textId="77777777" w:rsidR="00024494" w:rsidRPr="000C549E" w:rsidRDefault="00024494"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Cs/>
          <w:sz w:val="24"/>
          <w:szCs w:val="24"/>
        </w:rPr>
      </w:pPr>
    </w:p>
    <w:p w14:paraId="42997584" w14:textId="736855FF" w:rsidR="0021055F" w:rsidRPr="000C549E" w:rsidRDefault="00024494"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sz w:val="24"/>
          <w:szCs w:val="24"/>
        </w:rPr>
      </w:pPr>
      <w:r w:rsidRPr="000C549E">
        <w:rPr>
          <w:rFonts w:ascii="Arial Nova Light" w:eastAsia="Arial Nova" w:hAnsi="Arial Nova Light" w:cs="Arial"/>
          <w:bCs/>
          <w:sz w:val="24"/>
          <w:szCs w:val="24"/>
        </w:rPr>
        <w:t>En es</w:t>
      </w:r>
      <w:r w:rsidR="002A046C" w:rsidRPr="000C549E">
        <w:rPr>
          <w:rFonts w:ascii="Arial Nova Light" w:eastAsia="Arial Nova" w:hAnsi="Arial Nova Light" w:cs="Arial"/>
          <w:bCs/>
          <w:sz w:val="24"/>
          <w:szCs w:val="24"/>
        </w:rPr>
        <w:t>e contexto,</w:t>
      </w:r>
      <w:r w:rsidR="0021055F" w:rsidRPr="000C549E">
        <w:rPr>
          <w:rFonts w:ascii="Arial Nova Light" w:eastAsia="Arial Nova" w:hAnsi="Arial Nova Light" w:cs="Arial"/>
          <w:sz w:val="24"/>
          <w:szCs w:val="24"/>
        </w:rPr>
        <w:t xml:space="preserve"> luego de analizar la demanda, se observa que el promovente señala que </w:t>
      </w:r>
      <w:r w:rsidR="00B070BA" w:rsidRPr="000C549E">
        <w:rPr>
          <w:rFonts w:ascii="Arial Nova Light" w:eastAsia="Arial Nova" w:hAnsi="Arial Nova Light" w:cs="Arial"/>
          <w:sz w:val="24"/>
          <w:szCs w:val="24"/>
        </w:rPr>
        <w:t xml:space="preserve">los agravios están encaminados a cuestionar la legalidad de la actuación y resolución emitida por el CG, sin </w:t>
      </w:r>
      <w:r w:rsidR="00705BB0" w:rsidRPr="000C549E">
        <w:rPr>
          <w:rFonts w:ascii="Arial Nova Light" w:eastAsia="Arial Nova" w:hAnsi="Arial Nova Light" w:cs="Arial"/>
          <w:sz w:val="24"/>
          <w:szCs w:val="24"/>
        </w:rPr>
        <w:t>señalar directamente</w:t>
      </w:r>
      <w:r w:rsidR="00B070BA" w:rsidRPr="000C549E">
        <w:rPr>
          <w:rFonts w:ascii="Arial Nova Light" w:eastAsia="Arial Nova" w:hAnsi="Arial Nova Light" w:cs="Arial"/>
          <w:sz w:val="24"/>
          <w:szCs w:val="24"/>
        </w:rPr>
        <w:t xml:space="preserve"> transgresión a</w:t>
      </w:r>
      <w:r w:rsidR="00705BB0" w:rsidRPr="000C549E">
        <w:rPr>
          <w:rFonts w:ascii="Arial Nova Light" w:eastAsia="Arial Nova" w:hAnsi="Arial Nova Light" w:cs="Arial"/>
          <w:sz w:val="24"/>
          <w:szCs w:val="24"/>
        </w:rPr>
        <w:t>lguna a</w:t>
      </w:r>
      <w:r w:rsidR="00B070BA" w:rsidRPr="000C549E">
        <w:rPr>
          <w:rFonts w:ascii="Arial Nova Light" w:eastAsia="Arial Nova" w:hAnsi="Arial Nova Light" w:cs="Arial"/>
          <w:sz w:val="24"/>
          <w:szCs w:val="24"/>
        </w:rPr>
        <w:t xml:space="preserve"> un derecho político-electoral que afecte su esfera jurídica. </w:t>
      </w:r>
    </w:p>
    <w:p w14:paraId="757BE914" w14:textId="77777777" w:rsidR="00761FE0" w:rsidRPr="000C549E" w:rsidRDefault="00761FE0"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Cs/>
          <w:sz w:val="24"/>
          <w:szCs w:val="24"/>
        </w:rPr>
      </w:pPr>
      <w:bookmarkStart w:id="2" w:name="_Hlk66106004"/>
    </w:p>
    <w:p w14:paraId="4D820B50" w14:textId="642ED649" w:rsidR="008D7905" w:rsidRPr="000C549E" w:rsidRDefault="00761FE0"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Cs/>
          <w:sz w:val="24"/>
          <w:szCs w:val="24"/>
        </w:rPr>
      </w:pPr>
      <w:r w:rsidRPr="000C549E">
        <w:rPr>
          <w:rFonts w:ascii="Arial Nova Light" w:eastAsia="Arial Nova" w:hAnsi="Arial Nova Light" w:cs="Arial"/>
          <w:bCs/>
          <w:sz w:val="24"/>
          <w:szCs w:val="24"/>
        </w:rPr>
        <w:t>No obstante</w:t>
      </w:r>
      <w:r w:rsidR="008D7905" w:rsidRPr="000C549E">
        <w:rPr>
          <w:rFonts w:ascii="Arial Nova Light" w:eastAsia="Arial Nova" w:hAnsi="Arial Nova Light" w:cs="Arial"/>
          <w:bCs/>
          <w:sz w:val="24"/>
          <w:szCs w:val="24"/>
        </w:rPr>
        <w:t>, el ciudadano impugna considerando que cuenta con un interés legitimo y jurídico al ostentarse</w:t>
      </w:r>
      <w:r w:rsidR="008A21D2" w:rsidRPr="000C549E">
        <w:rPr>
          <w:rFonts w:ascii="Arial Nova Light" w:eastAsia="Arial Nova" w:hAnsi="Arial Nova Light" w:cs="Arial"/>
          <w:bCs/>
          <w:sz w:val="24"/>
          <w:szCs w:val="24"/>
        </w:rPr>
        <w:t xml:space="preserve">, señalando que </w:t>
      </w:r>
      <w:r w:rsidR="008F0A04" w:rsidRPr="000C549E">
        <w:rPr>
          <w:rFonts w:ascii="Arial Nova Light" w:eastAsia="Arial Nova" w:hAnsi="Arial Nova Light" w:cs="Arial"/>
          <w:bCs/>
          <w:sz w:val="24"/>
          <w:szCs w:val="24"/>
        </w:rPr>
        <w:t>la resolución que se combate atenta los principios de equidad, imparcialidad, definitividad y legalidad, principios inherentes a la función de la autoridad responsable</w:t>
      </w:r>
      <w:r w:rsidR="00EB6825" w:rsidRPr="000C549E">
        <w:rPr>
          <w:rFonts w:ascii="Arial Nova Light" w:eastAsia="Arial Nova" w:hAnsi="Arial Nova Light" w:cs="Arial"/>
          <w:bCs/>
          <w:sz w:val="24"/>
          <w:szCs w:val="24"/>
        </w:rPr>
        <w:t>, lo que pudiera traducirse, (sin que así lo precise el actor)</w:t>
      </w:r>
      <w:r w:rsidR="00EB6825" w:rsidRPr="000C549E">
        <w:rPr>
          <w:rFonts w:ascii="Arial Nova Light" w:hAnsi="Arial Nova Light" w:cs="Arial"/>
          <w:sz w:val="24"/>
          <w:szCs w:val="24"/>
        </w:rPr>
        <w:t xml:space="preserve"> en una afectación a los derechos político-electorales de votar, a la autenticidad y efectividad del sufragio, así como a los principios imparcialidad y equidad de la contienda electoral.</w:t>
      </w:r>
    </w:p>
    <w:p w14:paraId="41A34D8E" w14:textId="6BD74DBC" w:rsidR="008F0A04" w:rsidRPr="000C549E" w:rsidRDefault="008F0A04"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Cs/>
          <w:sz w:val="24"/>
          <w:szCs w:val="24"/>
        </w:rPr>
      </w:pPr>
    </w:p>
    <w:p w14:paraId="3DCE2127" w14:textId="74C80211" w:rsidR="008F0A04" w:rsidRPr="000C549E" w:rsidRDefault="00032650"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Cs/>
          <w:sz w:val="24"/>
          <w:szCs w:val="24"/>
        </w:rPr>
      </w:pPr>
      <w:r w:rsidRPr="000C549E">
        <w:rPr>
          <w:rFonts w:ascii="Arial Nova Light" w:eastAsia="Arial Nova" w:hAnsi="Arial Nova Light" w:cs="Arial"/>
          <w:bCs/>
          <w:sz w:val="24"/>
          <w:szCs w:val="24"/>
        </w:rPr>
        <w:t>No pasa desapercibido</w:t>
      </w:r>
      <w:r w:rsidR="00C00C14" w:rsidRPr="000C549E">
        <w:rPr>
          <w:rFonts w:ascii="Arial Nova Light" w:eastAsia="Arial Nova" w:hAnsi="Arial Nova Light" w:cs="Arial"/>
          <w:bCs/>
          <w:sz w:val="24"/>
          <w:szCs w:val="24"/>
        </w:rPr>
        <w:t xml:space="preserve">, que el promovente, en su escrito de demanda, expone </w:t>
      </w:r>
      <w:r w:rsidR="00B25C95" w:rsidRPr="000C549E">
        <w:rPr>
          <w:rFonts w:ascii="Arial Nova Light" w:eastAsia="Arial Nova" w:hAnsi="Arial Nova Light" w:cs="Arial"/>
          <w:bCs/>
          <w:sz w:val="24"/>
          <w:szCs w:val="24"/>
        </w:rPr>
        <w:t xml:space="preserve">que la SCJN ha </w:t>
      </w:r>
      <w:r w:rsidRPr="000C549E">
        <w:rPr>
          <w:rFonts w:ascii="Arial Nova Light" w:eastAsia="Arial Nova" w:hAnsi="Arial Nova Light" w:cs="Arial"/>
          <w:bCs/>
          <w:sz w:val="24"/>
          <w:szCs w:val="24"/>
        </w:rPr>
        <w:t xml:space="preserve">establecido directrices en cuanto al interés jurídico y legítimo de los promoventes, sin embargo, el actor omite precisar en </w:t>
      </w:r>
      <w:r w:rsidR="00562F71" w:rsidRPr="000C549E">
        <w:rPr>
          <w:rFonts w:ascii="Arial Nova Light" w:eastAsia="Arial Nova" w:hAnsi="Arial Nova Light" w:cs="Arial"/>
          <w:bCs/>
          <w:sz w:val="24"/>
          <w:szCs w:val="24"/>
        </w:rPr>
        <w:t>qué</w:t>
      </w:r>
      <w:r w:rsidRPr="000C549E">
        <w:rPr>
          <w:rFonts w:ascii="Arial Nova Light" w:eastAsia="Arial Nova" w:hAnsi="Arial Nova Light" w:cs="Arial"/>
          <w:bCs/>
          <w:sz w:val="24"/>
          <w:szCs w:val="24"/>
        </w:rPr>
        <w:t xml:space="preserve"> manera </w:t>
      </w:r>
      <w:r w:rsidR="00562F71" w:rsidRPr="000C549E">
        <w:rPr>
          <w:rFonts w:ascii="Arial Nova Light" w:eastAsia="Arial Nova" w:hAnsi="Arial Nova Light" w:cs="Arial"/>
          <w:bCs/>
          <w:sz w:val="24"/>
          <w:szCs w:val="24"/>
        </w:rPr>
        <w:t>la determinación del CG, modifica o altera en su beneficio</w:t>
      </w:r>
      <w:r w:rsidR="007C483E" w:rsidRPr="000C549E">
        <w:rPr>
          <w:rFonts w:ascii="Arial Nova Light" w:eastAsia="Arial Nova" w:hAnsi="Arial Nova Light" w:cs="Arial"/>
          <w:bCs/>
          <w:sz w:val="24"/>
          <w:szCs w:val="24"/>
        </w:rPr>
        <w:t>,</w:t>
      </w:r>
      <w:r w:rsidR="00562F71" w:rsidRPr="000C549E">
        <w:rPr>
          <w:rFonts w:ascii="Arial Nova Light" w:eastAsia="Arial Nova" w:hAnsi="Arial Nova Light" w:cs="Arial"/>
          <w:bCs/>
          <w:sz w:val="24"/>
          <w:szCs w:val="24"/>
        </w:rPr>
        <w:t xml:space="preserve"> o perjuicio</w:t>
      </w:r>
      <w:r w:rsidR="007C483E" w:rsidRPr="000C549E">
        <w:rPr>
          <w:rFonts w:ascii="Arial Nova Light" w:eastAsia="Arial Nova" w:hAnsi="Arial Nova Light" w:cs="Arial"/>
          <w:bCs/>
          <w:sz w:val="24"/>
          <w:szCs w:val="24"/>
        </w:rPr>
        <w:t>,</w:t>
      </w:r>
      <w:r w:rsidR="00562F71" w:rsidRPr="000C549E">
        <w:rPr>
          <w:rFonts w:ascii="Arial Nova Light" w:eastAsia="Arial Nova" w:hAnsi="Arial Nova Light" w:cs="Arial"/>
          <w:bCs/>
          <w:sz w:val="24"/>
          <w:szCs w:val="24"/>
        </w:rPr>
        <w:t xml:space="preserve"> su esfera de derechos. </w:t>
      </w:r>
    </w:p>
    <w:bookmarkEnd w:id="2"/>
    <w:p w14:paraId="78B4A0BD" w14:textId="448775EF" w:rsidR="008A21D2" w:rsidRPr="000C549E" w:rsidRDefault="008A21D2"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Cs/>
          <w:sz w:val="24"/>
          <w:szCs w:val="24"/>
        </w:rPr>
      </w:pPr>
    </w:p>
    <w:p w14:paraId="78C92439" w14:textId="57A2CDB6" w:rsidR="0021055F" w:rsidRPr="000C549E" w:rsidRDefault="0021055F" w:rsidP="005B6952">
      <w:pPr>
        <w:spacing w:after="0" w:line="360" w:lineRule="auto"/>
        <w:contextualSpacing/>
        <w:jc w:val="both"/>
        <w:rPr>
          <w:rFonts w:ascii="Arial Nova Light" w:hAnsi="Arial Nova Light" w:cs="Arial"/>
          <w:sz w:val="24"/>
          <w:szCs w:val="24"/>
        </w:rPr>
      </w:pPr>
      <w:r w:rsidRPr="000C549E">
        <w:rPr>
          <w:rFonts w:ascii="Arial Nova Light" w:hAnsi="Arial Nova Light" w:cs="Arial"/>
          <w:sz w:val="24"/>
          <w:szCs w:val="24"/>
        </w:rPr>
        <w:t xml:space="preserve">Al respecto, este Tribunal considera que previo al análisis de los agravios que plantea el actor en contra de la </w:t>
      </w:r>
      <w:r w:rsidR="00F5608C" w:rsidRPr="000C549E">
        <w:rPr>
          <w:rFonts w:ascii="Arial Nova Light" w:hAnsi="Arial Nova Light" w:cs="Arial"/>
          <w:sz w:val="24"/>
          <w:szCs w:val="24"/>
        </w:rPr>
        <w:t xml:space="preserve">resolución del CG, </w:t>
      </w:r>
      <w:r w:rsidRPr="000C549E">
        <w:rPr>
          <w:rFonts w:ascii="Arial Nova Light" w:hAnsi="Arial Nova Light" w:cs="Arial"/>
          <w:sz w:val="24"/>
          <w:szCs w:val="24"/>
        </w:rPr>
        <w:t>es necesario analizar si este cumple con el requisito de procedencia previsto en el artículo 304, fracción II, inciso a), del Código Electoral, relativo al interés jurídico</w:t>
      </w:r>
      <w:r w:rsidRPr="000C549E">
        <w:rPr>
          <w:rStyle w:val="Refdenotaalpie"/>
          <w:rFonts w:ascii="Arial Nova Light" w:hAnsi="Arial Nova Light" w:cs="Arial"/>
          <w:sz w:val="24"/>
          <w:szCs w:val="24"/>
        </w:rPr>
        <w:footnoteReference w:id="2"/>
      </w:r>
      <w:r w:rsidRPr="000C549E">
        <w:rPr>
          <w:rFonts w:ascii="Arial Nova Light" w:hAnsi="Arial Nova Light" w:cs="Arial"/>
          <w:sz w:val="24"/>
          <w:szCs w:val="24"/>
        </w:rPr>
        <w:t xml:space="preserve"> o, en su caso, que cuente con un interés legítimo.</w:t>
      </w:r>
    </w:p>
    <w:p w14:paraId="2C13967F" w14:textId="77777777" w:rsidR="007C483E" w:rsidRPr="000C549E" w:rsidRDefault="00B76AB1" w:rsidP="007A321F">
      <w:pPr>
        <w:pStyle w:val="NormalWeb"/>
        <w:shd w:val="clear" w:color="auto" w:fill="FFFFFF"/>
        <w:spacing w:before="280" w:beforeAutospacing="0" w:after="280" w:afterAutospacing="0" w:line="360" w:lineRule="atLeast"/>
        <w:jc w:val="both"/>
        <w:rPr>
          <w:rFonts w:ascii="Arial Nova Light" w:hAnsi="Arial Nova Light" w:cs="Arial"/>
          <w:b/>
          <w:bCs/>
        </w:rPr>
      </w:pPr>
      <w:r w:rsidRPr="000C549E">
        <w:rPr>
          <w:rFonts w:ascii="Arial Nova Light" w:hAnsi="Arial Nova Light" w:cs="Arial"/>
          <w:b/>
          <w:bCs/>
        </w:rPr>
        <w:t xml:space="preserve">2. </w:t>
      </w:r>
      <w:r w:rsidR="007C483E" w:rsidRPr="000C549E">
        <w:rPr>
          <w:rFonts w:ascii="Arial Nova Light" w:hAnsi="Arial Nova Light" w:cs="Arial"/>
          <w:b/>
          <w:bCs/>
        </w:rPr>
        <w:t>ESTUDIO DE FONDO</w:t>
      </w:r>
    </w:p>
    <w:p w14:paraId="09ECB9E1" w14:textId="3E027DBE" w:rsidR="00C356BD" w:rsidRPr="000C549E" w:rsidRDefault="0062428B" w:rsidP="007A321F">
      <w:pPr>
        <w:pStyle w:val="NormalWeb"/>
        <w:shd w:val="clear" w:color="auto" w:fill="FFFFFF"/>
        <w:spacing w:before="280" w:beforeAutospacing="0" w:after="280" w:afterAutospacing="0" w:line="360" w:lineRule="atLeast"/>
        <w:jc w:val="both"/>
        <w:rPr>
          <w:rFonts w:ascii="Arial Nova Light" w:hAnsi="Arial Nova Light" w:cs="Arial"/>
          <w:b/>
          <w:bCs/>
        </w:rPr>
      </w:pPr>
      <w:r w:rsidRPr="000C549E">
        <w:rPr>
          <w:rFonts w:ascii="Arial Nova Light" w:hAnsi="Arial Nova Light" w:cs="Arial"/>
          <w:b/>
          <w:bCs/>
        </w:rPr>
        <w:lastRenderedPageBreak/>
        <w:t xml:space="preserve">Se actualiza la causa de improcedencia contenida en el </w:t>
      </w:r>
      <w:r w:rsidRPr="000C549E">
        <w:rPr>
          <w:rFonts w:ascii="Arial Nova Light" w:eastAsia="Arial Nova" w:hAnsi="Arial Nova Light" w:cs="Arial"/>
          <w:b/>
          <w:bCs/>
        </w:rPr>
        <w:t xml:space="preserve">artículo 304, fracción II, inciso a), del Código Electoral. </w:t>
      </w:r>
      <w:r w:rsidR="00B76AB1" w:rsidRPr="000C549E">
        <w:rPr>
          <w:rFonts w:ascii="Arial Nova Light" w:eastAsia="Arial Nova" w:hAnsi="Arial Nova Light" w:cs="Arial"/>
          <w:b/>
          <w:bCs/>
        </w:rPr>
        <w:t xml:space="preserve">  </w:t>
      </w:r>
      <w:r w:rsidR="00B76AB1" w:rsidRPr="000C549E">
        <w:rPr>
          <w:rFonts w:ascii="Arial Nova Light" w:eastAsia="Arial Nova" w:hAnsi="Arial Nova Light" w:cs="Arial"/>
        </w:rPr>
        <w:t>Este Tribunal, considera qu</w:t>
      </w:r>
      <w:r w:rsidR="00C356BD" w:rsidRPr="000C549E">
        <w:rPr>
          <w:rFonts w:ascii="Arial Nova Light" w:eastAsia="Arial Nova" w:hAnsi="Arial Nova Light" w:cs="Arial"/>
        </w:rPr>
        <w:t>e</w:t>
      </w:r>
      <w:r w:rsidR="00C356BD" w:rsidRPr="000C549E">
        <w:t xml:space="preserve"> </w:t>
      </w:r>
      <w:r w:rsidR="00C356BD" w:rsidRPr="000C549E">
        <w:rPr>
          <w:rFonts w:ascii="Arial Nova Light" w:eastAsia="Arial Nova" w:hAnsi="Arial Nova Light" w:cs="Arial"/>
        </w:rPr>
        <w:t>en el caso se actualiza la causa de improcedencia de falta de interés jurídico</w:t>
      </w:r>
      <w:r w:rsidR="003E5C91" w:rsidRPr="000C549E">
        <w:rPr>
          <w:rStyle w:val="Refdenotaalpie"/>
          <w:rFonts w:ascii="Arial Nova Light" w:eastAsia="Arial Nova" w:hAnsi="Arial Nova Light" w:cs="Arial"/>
        </w:rPr>
        <w:footnoteReference w:id="3"/>
      </w:r>
      <w:r w:rsidR="00C356BD" w:rsidRPr="000C549E">
        <w:rPr>
          <w:rFonts w:ascii="Arial Nova Light" w:eastAsia="Arial Nova" w:hAnsi="Arial Nova Light" w:cs="Arial"/>
        </w:rPr>
        <w:t xml:space="preserve"> prevista</w:t>
      </w:r>
      <w:r w:rsidR="003E5C91" w:rsidRPr="000C549E">
        <w:rPr>
          <w:rFonts w:ascii="Arial Nova Light" w:eastAsia="Arial Nova" w:hAnsi="Arial Nova Light" w:cs="Arial"/>
        </w:rPr>
        <w:t xml:space="preserve"> en el</w:t>
      </w:r>
      <w:r w:rsidR="00A55A8F" w:rsidRPr="000C549E">
        <w:rPr>
          <w:rFonts w:ascii="Arial Nova Light" w:eastAsia="Arial Nova" w:hAnsi="Arial Nova Light" w:cs="Arial"/>
        </w:rPr>
        <w:t xml:space="preserve"> artículo 304, fracción II, inciso a) del Código Electoral Local</w:t>
      </w:r>
      <w:r w:rsidR="00C356BD" w:rsidRPr="000C549E">
        <w:rPr>
          <w:rFonts w:ascii="Arial Nova Light" w:eastAsia="Arial Nova" w:hAnsi="Arial Nova Light" w:cs="Arial"/>
        </w:rPr>
        <w:t xml:space="preserve"> porque</w:t>
      </w:r>
      <w:r w:rsidR="007C483E" w:rsidRPr="000C549E">
        <w:rPr>
          <w:rFonts w:ascii="Arial Nova Light" w:eastAsia="Arial Nova" w:hAnsi="Arial Nova Light" w:cs="Arial"/>
        </w:rPr>
        <w:t xml:space="preserve"> el promovente</w:t>
      </w:r>
      <w:r w:rsidR="00C356BD" w:rsidRPr="000C549E">
        <w:rPr>
          <w:rFonts w:ascii="Arial Nova Light" w:eastAsia="Arial Nova" w:hAnsi="Arial Nova Light" w:cs="Arial"/>
        </w:rPr>
        <w:t xml:space="preserve"> no logra demostrar que el acto reclamado le afecte algún derecho político-electoral.</w:t>
      </w:r>
    </w:p>
    <w:p w14:paraId="04A83752" w14:textId="1243AC8E" w:rsidR="005D64A3" w:rsidRPr="000C549E" w:rsidRDefault="005D64A3" w:rsidP="005B6952">
      <w:pPr>
        <w:spacing w:after="0" w:line="360" w:lineRule="auto"/>
        <w:contextualSpacing/>
        <w:jc w:val="both"/>
        <w:rPr>
          <w:rFonts w:ascii="Arial Nova Light" w:eastAsia="Arial Nova" w:hAnsi="Arial Nova Light" w:cs="Arial"/>
          <w:sz w:val="24"/>
          <w:szCs w:val="24"/>
        </w:rPr>
      </w:pPr>
      <w:r w:rsidRPr="000C549E">
        <w:rPr>
          <w:rFonts w:ascii="Arial Nova Light" w:eastAsia="Arial Nova" w:hAnsi="Arial Nova Light" w:cs="Arial"/>
          <w:sz w:val="24"/>
          <w:szCs w:val="24"/>
        </w:rPr>
        <w:t xml:space="preserve">En ese sentido, la Sala Superior ha señalado que </w:t>
      </w:r>
      <w:r w:rsidR="00612A61" w:rsidRPr="000C549E">
        <w:rPr>
          <w:rFonts w:ascii="Arial Nova Light" w:eastAsia="Arial Nova" w:hAnsi="Arial Nova Light" w:cs="Arial"/>
          <w:sz w:val="24"/>
          <w:szCs w:val="24"/>
        </w:rPr>
        <w:t xml:space="preserve">el </w:t>
      </w:r>
      <w:r w:rsidR="00612A61" w:rsidRPr="000C549E">
        <w:rPr>
          <w:rFonts w:ascii="Arial Nova Light" w:eastAsia="Arial Nova" w:hAnsi="Arial Nova Light" w:cs="Arial"/>
          <w:b/>
          <w:bCs/>
          <w:sz w:val="24"/>
          <w:szCs w:val="24"/>
        </w:rPr>
        <w:t>interés jurídico</w:t>
      </w:r>
      <w:r w:rsidR="00612A61" w:rsidRPr="000C549E">
        <w:rPr>
          <w:rFonts w:ascii="Arial Nova Light" w:eastAsia="Arial Nova" w:hAnsi="Arial Nova Light" w:cs="Arial"/>
          <w:sz w:val="24"/>
          <w:szCs w:val="24"/>
        </w:rPr>
        <w:t>, como requisito de procedencia, exige que quien impugne tiene que demostrar: a) la existencia del derecho subjetivo político-electoral que se dice vulnerado; y, b) que el acto de autoridad afecta ese derecho, del que deriven los agravios de la demanda.</w:t>
      </w:r>
      <w:r w:rsidR="00612A61" w:rsidRPr="000C549E">
        <w:rPr>
          <w:rStyle w:val="Refdenotaalpie"/>
          <w:rFonts w:ascii="Arial Nova Light" w:eastAsia="Arial Nova" w:hAnsi="Arial Nova Light" w:cs="Arial"/>
          <w:sz w:val="24"/>
          <w:szCs w:val="24"/>
        </w:rPr>
        <w:footnoteReference w:id="4"/>
      </w:r>
    </w:p>
    <w:p w14:paraId="493F77BC" w14:textId="22E15153" w:rsidR="00612A61" w:rsidRPr="000C549E" w:rsidRDefault="00612A61" w:rsidP="005B6952">
      <w:pPr>
        <w:spacing w:after="0" w:line="360" w:lineRule="auto"/>
        <w:contextualSpacing/>
        <w:jc w:val="both"/>
        <w:rPr>
          <w:rFonts w:ascii="Arial Nova Light" w:eastAsia="Arial Nova" w:hAnsi="Arial Nova Light" w:cs="Arial"/>
          <w:sz w:val="24"/>
          <w:szCs w:val="24"/>
        </w:rPr>
      </w:pPr>
    </w:p>
    <w:p w14:paraId="5BB6859B" w14:textId="4141E3A2" w:rsidR="00597515" w:rsidRPr="000C549E" w:rsidRDefault="00612A61"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sz w:val="24"/>
          <w:szCs w:val="24"/>
        </w:rPr>
      </w:pPr>
      <w:r w:rsidRPr="000C549E">
        <w:rPr>
          <w:rFonts w:ascii="Arial Nova Light" w:eastAsia="Arial Nova" w:hAnsi="Arial Nova Light" w:cs="Arial"/>
          <w:sz w:val="24"/>
          <w:szCs w:val="24"/>
        </w:rPr>
        <w:t>Además, la propia Sala Superior</w:t>
      </w:r>
      <w:r w:rsidR="00EF5068" w:rsidRPr="000C549E">
        <w:rPr>
          <w:rFonts w:ascii="Arial Nova Light" w:eastAsia="Arial Nova" w:hAnsi="Arial Nova Light" w:cs="Arial"/>
          <w:sz w:val="24"/>
          <w:szCs w:val="24"/>
        </w:rPr>
        <w:t xml:space="preserve"> ha dictado que </w:t>
      </w:r>
      <w:r w:rsidR="00B2436A" w:rsidRPr="000C549E">
        <w:rPr>
          <w:rFonts w:ascii="Arial Nova Light" w:eastAsia="Arial Nova" w:hAnsi="Arial Nova Light" w:cs="Arial"/>
          <w:sz w:val="24"/>
          <w:szCs w:val="24"/>
        </w:rPr>
        <w:t>por regla general, el interés jurídico se advierte cuando en la demanda se esgrimen vulneraciones de algún derecho sustancial del enjuiciante, a la vez que éste argumenta que la intervención del órgano jurisdiccional competente es necesaria y útil para lograr la reparación de esa conculcación, mediante la formulación de algún planteamiento tendente a obtener el dictado de una sentencia que tenga el efecto de revocar o modificar el acto o resolución reclamado, lo cual debe producir la restitución al demandante en el goce del pretendido derecho político-electoral violado</w:t>
      </w:r>
      <w:r w:rsidR="00B2436A" w:rsidRPr="000C549E">
        <w:rPr>
          <w:rStyle w:val="Refdenotaalpie"/>
          <w:rFonts w:ascii="Arial Nova Light" w:eastAsia="Arial Nova" w:hAnsi="Arial Nova Light" w:cs="Arial"/>
          <w:sz w:val="24"/>
          <w:szCs w:val="24"/>
        </w:rPr>
        <w:footnoteReference w:id="5"/>
      </w:r>
      <w:r w:rsidR="00B2436A" w:rsidRPr="000C549E">
        <w:rPr>
          <w:rFonts w:ascii="Arial Nova Light" w:eastAsia="Arial Nova" w:hAnsi="Arial Nova Light" w:cs="Arial"/>
          <w:sz w:val="24"/>
          <w:szCs w:val="24"/>
        </w:rPr>
        <w:t>.</w:t>
      </w:r>
    </w:p>
    <w:p w14:paraId="74B6B5BD" w14:textId="77777777" w:rsidR="0046432B" w:rsidRPr="000C549E" w:rsidRDefault="0046432B"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sz w:val="24"/>
          <w:szCs w:val="24"/>
        </w:rPr>
      </w:pPr>
    </w:p>
    <w:p w14:paraId="1E7B0A42" w14:textId="4EB8BA30" w:rsidR="00B2436A" w:rsidRPr="000C549E" w:rsidRDefault="00B2436A"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
          <w:bCs/>
          <w:sz w:val="24"/>
          <w:szCs w:val="24"/>
        </w:rPr>
      </w:pPr>
      <w:r w:rsidRPr="000C549E">
        <w:rPr>
          <w:rFonts w:ascii="Arial Nova Light" w:eastAsia="Arial Nova" w:hAnsi="Arial Nova Light" w:cs="Arial"/>
          <w:sz w:val="24"/>
          <w:szCs w:val="24"/>
        </w:rPr>
        <w:t xml:space="preserve">Criterio </w:t>
      </w:r>
      <w:r w:rsidR="00EF5068" w:rsidRPr="000C549E">
        <w:rPr>
          <w:rFonts w:ascii="Arial Nova Light" w:eastAsia="Arial Nova" w:hAnsi="Arial Nova Light" w:cs="Arial"/>
          <w:sz w:val="24"/>
          <w:szCs w:val="24"/>
        </w:rPr>
        <w:t xml:space="preserve">soportado en la Jurisprudencia 7/2002, de rubro </w:t>
      </w:r>
      <w:r w:rsidR="00EF5068" w:rsidRPr="000C549E">
        <w:rPr>
          <w:rFonts w:ascii="Arial Nova Light" w:eastAsia="Arial Nova" w:hAnsi="Arial Nova Light" w:cs="Arial"/>
          <w:b/>
          <w:bCs/>
          <w:sz w:val="24"/>
          <w:szCs w:val="24"/>
        </w:rPr>
        <w:t>“INTERÉS JURÍDICO DIRECTO PARA PROMOVER MEDIOS DE IMPUGNACIÓN. REQUISITOS PARA SU SURTIMIENTO”</w:t>
      </w:r>
      <w:r w:rsidR="00EF5068" w:rsidRPr="000C549E">
        <w:rPr>
          <w:rStyle w:val="Refdenotaalpie"/>
          <w:rFonts w:ascii="Arial Nova Light" w:eastAsia="Arial Nova" w:hAnsi="Arial Nova Light" w:cs="Arial"/>
          <w:b/>
          <w:bCs/>
          <w:sz w:val="24"/>
          <w:szCs w:val="24"/>
        </w:rPr>
        <w:footnoteReference w:id="6"/>
      </w:r>
      <w:r w:rsidR="00BE46DB" w:rsidRPr="000C549E">
        <w:rPr>
          <w:rFonts w:ascii="Arial Nova Light" w:eastAsia="Arial Nova" w:hAnsi="Arial Nova Light" w:cs="Arial"/>
          <w:b/>
          <w:bCs/>
          <w:sz w:val="24"/>
          <w:szCs w:val="24"/>
        </w:rPr>
        <w:t xml:space="preserve"> </w:t>
      </w:r>
    </w:p>
    <w:p w14:paraId="32E25229" w14:textId="77777777" w:rsidR="00AA711A" w:rsidRPr="000C549E" w:rsidRDefault="00AA711A" w:rsidP="005B6952">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sz w:val="24"/>
          <w:szCs w:val="24"/>
          <w:shd w:val="clear" w:color="auto" w:fill="FFFFFF"/>
        </w:rPr>
      </w:pPr>
    </w:p>
    <w:p w14:paraId="42A61BC4" w14:textId="7E35F129" w:rsidR="00270B01" w:rsidRPr="000C549E" w:rsidRDefault="00AA711A" w:rsidP="005B6952">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sz w:val="24"/>
          <w:szCs w:val="24"/>
          <w:shd w:val="clear" w:color="auto" w:fill="FFFFFF"/>
        </w:rPr>
      </w:pPr>
      <w:r w:rsidRPr="000C549E">
        <w:rPr>
          <w:rFonts w:ascii="Arial Nova Light" w:hAnsi="Arial Nova Light" w:cs="Arial"/>
          <w:sz w:val="24"/>
          <w:szCs w:val="24"/>
          <w:shd w:val="clear" w:color="auto" w:fill="FFFFFF"/>
        </w:rPr>
        <w:t>En este sentido, conforme a lo establecido en la Ley de </w:t>
      </w:r>
      <w:r w:rsidR="0023590F" w:rsidRPr="000C549E">
        <w:rPr>
          <w:rFonts w:ascii="Arial Nova Light" w:hAnsi="Arial Nova Light" w:cs="Arial"/>
          <w:sz w:val="24"/>
          <w:szCs w:val="24"/>
          <w:shd w:val="clear" w:color="auto" w:fill="FFFFFF"/>
        </w:rPr>
        <w:t>M</w:t>
      </w:r>
      <w:r w:rsidRPr="000C549E">
        <w:rPr>
          <w:rFonts w:ascii="Arial Nova Light" w:hAnsi="Arial Nova Light" w:cs="Arial"/>
          <w:sz w:val="24"/>
          <w:szCs w:val="24"/>
          <w:shd w:val="clear" w:color="auto" w:fill="FFFFFF"/>
        </w:rPr>
        <w:t>edios</w:t>
      </w:r>
      <w:r w:rsidR="0023590F" w:rsidRPr="000C549E">
        <w:rPr>
          <w:rStyle w:val="Refdenotaalpie"/>
          <w:rFonts w:ascii="Arial Nova Light" w:hAnsi="Arial Nova Light" w:cs="Arial"/>
          <w:sz w:val="24"/>
          <w:szCs w:val="24"/>
          <w:shd w:val="clear" w:color="auto" w:fill="FFFFFF"/>
        </w:rPr>
        <w:footnoteReference w:id="7"/>
      </w:r>
      <w:r w:rsidRPr="000C549E">
        <w:rPr>
          <w:rFonts w:ascii="Arial Nova Light" w:hAnsi="Arial Nova Light" w:cs="Arial"/>
          <w:sz w:val="24"/>
          <w:szCs w:val="24"/>
          <w:shd w:val="clear" w:color="auto" w:fill="FFFFFF"/>
        </w:rPr>
        <w:t xml:space="preserve">, </w:t>
      </w:r>
      <w:r w:rsidR="00036BD4" w:rsidRPr="000C549E">
        <w:rPr>
          <w:rFonts w:ascii="Arial Nova Light" w:hAnsi="Arial Nova Light" w:cs="Arial"/>
          <w:sz w:val="24"/>
          <w:szCs w:val="24"/>
          <w:shd w:val="clear" w:color="auto" w:fill="FFFFFF"/>
        </w:rPr>
        <w:t>tal como lo señala la Sala Superior</w:t>
      </w:r>
      <w:r w:rsidR="00036BD4" w:rsidRPr="000C549E">
        <w:rPr>
          <w:rStyle w:val="Refdenotaalpie"/>
          <w:rFonts w:ascii="Arial Nova Light" w:hAnsi="Arial Nova Light" w:cs="Arial"/>
          <w:sz w:val="24"/>
          <w:szCs w:val="24"/>
          <w:shd w:val="clear" w:color="auto" w:fill="FFFFFF"/>
        </w:rPr>
        <w:footnoteReference w:id="8"/>
      </w:r>
      <w:r w:rsidR="00036BD4" w:rsidRPr="000C549E">
        <w:rPr>
          <w:rFonts w:ascii="Arial Nova Light" w:hAnsi="Arial Nova Light" w:cs="Arial"/>
          <w:sz w:val="24"/>
          <w:szCs w:val="24"/>
          <w:shd w:val="clear" w:color="auto" w:fill="FFFFFF"/>
        </w:rPr>
        <w:t xml:space="preserve">, </w:t>
      </w:r>
      <w:r w:rsidRPr="000C549E">
        <w:rPr>
          <w:rFonts w:ascii="Arial Nova Light" w:hAnsi="Arial Nova Light" w:cs="Arial"/>
          <w:sz w:val="24"/>
          <w:szCs w:val="24"/>
          <w:shd w:val="clear" w:color="auto" w:fill="FFFFFF"/>
        </w:rPr>
        <w:t>para que tal interés jurídico exista, el acto o resolución impugnad</w:t>
      </w:r>
      <w:r w:rsidR="00B5798E" w:rsidRPr="000C549E">
        <w:rPr>
          <w:rFonts w:ascii="Arial Nova Light" w:hAnsi="Arial Nova Light" w:cs="Arial"/>
          <w:sz w:val="24"/>
          <w:szCs w:val="24"/>
          <w:shd w:val="clear" w:color="auto" w:fill="FFFFFF"/>
        </w:rPr>
        <w:t>a</w:t>
      </w:r>
      <w:r w:rsidRPr="000C549E">
        <w:rPr>
          <w:rFonts w:ascii="Arial Nova Light" w:hAnsi="Arial Nova Light" w:cs="Arial"/>
          <w:sz w:val="24"/>
          <w:szCs w:val="24"/>
          <w:shd w:val="clear" w:color="auto" w:fill="FFFFFF"/>
        </w:rPr>
        <w:t xml:space="preserve">, en la materia electoral, debe repercutir de </w:t>
      </w:r>
      <w:r w:rsidRPr="000C549E">
        <w:rPr>
          <w:rFonts w:ascii="Arial Nova Light" w:hAnsi="Arial Nova Light" w:cs="Arial"/>
          <w:b/>
          <w:bCs/>
          <w:sz w:val="24"/>
          <w:szCs w:val="24"/>
          <w:shd w:val="clear" w:color="auto" w:fill="FFFFFF"/>
        </w:rPr>
        <w:t>manera clara y suficiente</w:t>
      </w:r>
      <w:r w:rsidRPr="000C549E">
        <w:rPr>
          <w:rFonts w:ascii="Arial Nova Light" w:hAnsi="Arial Nova Light" w:cs="Arial"/>
          <w:sz w:val="24"/>
          <w:szCs w:val="24"/>
          <w:shd w:val="clear" w:color="auto" w:fill="FFFFFF"/>
        </w:rPr>
        <w:t xml:space="preserve"> en el ámbito de derechos de quien impugna, pues sólo de esa manera, de llegar a demostrarse la afectación del derecho, se le podrá restituir en el goce de la prerrogativa vulnerada o bien se hará factible su ejercicio.</w:t>
      </w:r>
    </w:p>
    <w:p w14:paraId="37135182" w14:textId="77777777" w:rsidR="00AA711A" w:rsidRPr="000C549E" w:rsidRDefault="00AA711A"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i/>
          <w:iCs/>
          <w:sz w:val="24"/>
          <w:szCs w:val="24"/>
        </w:rPr>
      </w:pPr>
    </w:p>
    <w:p w14:paraId="570D787F" w14:textId="7DD86C59" w:rsidR="00270B01" w:rsidRPr="000C549E" w:rsidRDefault="001866C5"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sz w:val="24"/>
          <w:szCs w:val="24"/>
        </w:rPr>
      </w:pPr>
      <w:r w:rsidRPr="000C549E">
        <w:rPr>
          <w:rFonts w:ascii="Arial Nova Light" w:eastAsia="Arial Nova" w:hAnsi="Arial Nova Light" w:cs="Arial"/>
          <w:sz w:val="24"/>
          <w:szCs w:val="24"/>
        </w:rPr>
        <w:t>Así</w:t>
      </w:r>
      <w:r w:rsidR="00ED2353" w:rsidRPr="000C549E">
        <w:rPr>
          <w:rFonts w:ascii="Arial Nova Light" w:eastAsia="Arial Nova" w:hAnsi="Arial Nova Light" w:cs="Arial"/>
          <w:sz w:val="24"/>
          <w:szCs w:val="24"/>
        </w:rPr>
        <w:t xml:space="preserve">, para que este Tribunal conozca de fondo el medio impugnado, el promovente tiene el deber de aportar los elementos necesarios y suficientes para </w:t>
      </w:r>
      <w:r w:rsidR="00DD09F0" w:rsidRPr="000C549E">
        <w:rPr>
          <w:rFonts w:ascii="Arial Nova Light" w:eastAsia="Arial Nova" w:hAnsi="Arial Nova Light" w:cs="Arial"/>
          <w:sz w:val="24"/>
          <w:szCs w:val="24"/>
        </w:rPr>
        <w:t xml:space="preserve">suponer la titularidad de un derecho subjetivo afectado por el acto controvertido, es decir, que la autoridad responsable afecte de manera clara la esfera de derechos de quien activa el órgano jurisdiccional. </w:t>
      </w:r>
    </w:p>
    <w:p w14:paraId="400A5FB5" w14:textId="69068AFA" w:rsidR="00DD09F0" w:rsidRPr="000C549E" w:rsidRDefault="00DD09F0"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sz w:val="24"/>
          <w:szCs w:val="24"/>
        </w:rPr>
      </w:pPr>
    </w:p>
    <w:p w14:paraId="3B0E8C10" w14:textId="5BC2CA7C" w:rsidR="00DD09F0" w:rsidRPr="000C549E" w:rsidRDefault="0043089B"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sz w:val="24"/>
          <w:szCs w:val="24"/>
        </w:rPr>
      </w:pPr>
      <w:r w:rsidRPr="000C549E">
        <w:rPr>
          <w:rFonts w:ascii="Arial Nova Light" w:eastAsia="Arial Nova" w:hAnsi="Arial Nova Light" w:cs="Arial"/>
          <w:sz w:val="24"/>
          <w:szCs w:val="24"/>
        </w:rPr>
        <w:lastRenderedPageBreak/>
        <w:t xml:space="preserve">Por otra parte, el </w:t>
      </w:r>
      <w:r w:rsidRPr="000C549E">
        <w:rPr>
          <w:rFonts w:ascii="Arial Nova Light" w:eastAsia="Arial Nova" w:hAnsi="Arial Nova Light" w:cs="Arial"/>
          <w:b/>
          <w:bCs/>
          <w:sz w:val="24"/>
          <w:szCs w:val="24"/>
        </w:rPr>
        <w:t>interés legítimo</w:t>
      </w:r>
      <w:r w:rsidR="00EE3646" w:rsidRPr="000C549E">
        <w:rPr>
          <w:rStyle w:val="Refdenotaalpie"/>
          <w:rFonts w:ascii="Arial Nova Light" w:eastAsia="Arial Nova" w:hAnsi="Arial Nova Light" w:cs="Arial"/>
          <w:sz w:val="24"/>
          <w:szCs w:val="24"/>
        </w:rPr>
        <w:footnoteReference w:id="9"/>
      </w:r>
      <w:r w:rsidRPr="000C549E">
        <w:rPr>
          <w:rFonts w:ascii="Arial Nova Light" w:eastAsia="Arial Nova" w:hAnsi="Arial Nova Light" w:cs="Arial"/>
          <w:sz w:val="24"/>
          <w:szCs w:val="24"/>
        </w:rPr>
        <w:t xml:space="preserve"> </w:t>
      </w:r>
      <w:r w:rsidR="00F82F3F" w:rsidRPr="000C549E">
        <w:rPr>
          <w:rFonts w:ascii="Arial Nova Light" w:eastAsia="Arial Nova" w:hAnsi="Arial Nova Light" w:cs="Arial"/>
          <w:sz w:val="24"/>
          <w:szCs w:val="24"/>
        </w:rPr>
        <w:t xml:space="preserve">no se asocia a la existencia de un derecho subjetivo, pero sí a la tutela jurídica que corresponda a la "especial situación frente al orden jurídico”, de tal suerte que alguna norma puede establecer un </w:t>
      </w:r>
      <w:r w:rsidR="00F82F3F" w:rsidRPr="000C549E">
        <w:rPr>
          <w:rFonts w:ascii="Arial Nova Light" w:eastAsia="Arial Nova" w:hAnsi="Arial Nova Light" w:cs="Arial"/>
          <w:b/>
          <w:bCs/>
          <w:sz w:val="24"/>
          <w:szCs w:val="24"/>
        </w:rPr>
        <w:t>interés difuso en beneficio de una colectividad</w:t>
      </w:r>
      <w:r w:rsidR="00F82F3F" w:rsidRPr="000C549E">
        <w:rPr>
          <w:rFonts w:ascii="Arial Nova Light" w:eastAsia="Arial Nova" w:hAnsi="Arial Nova Light" w:cs="Arial"/>
          <w:sz w:val="24"/>
          <w:szCs w:val="24"/>
        </w:rPr>
        <w:t xml:space="preserve"> o grupo al que pertenezca el agraviado</w:t>
      </w:r>
      <w:r w:rsidR="00F82F3F" w:rsidRPr="000C549E">
        <w:rPr>
          <w:rStyle w:val="Refdenotaalpie"/>
          <w:rFonts w:ascii="Arial Nova Light" w:eastAsia="Arial Nova" w:hAnsi="Arial Nova Light" w:cs="Arial"/>
          <w:sz w:val="24"/>
          <w:szCs w:val="24"/>
        </w:rPr>
        <w:footnoteReference w:id="10"/>
      </w:r>
      <w:r w:rsidR="00C807E0" w:rsidRPr="000C549E">
        <w:rPr>
          <w:rFonts w:ascii="Arial Nova Light" w:eastAsia="Arial Nova" w:hAnsi="Arial Nova Light" w:cs="Arial"/>
          <w:sz w:val="24"/>
          <w:szCs w:val="24"/>
        </w:rPr>
        <w:t xml:space="preserve">, situación </w:t>
      </w:r>
      <w:r w:rsidR="009047A2" w:rsidRPr="000C549E">
        <w:rPr>
          <w:rFonts w:ascii="Arial Nova Light" w:eastAsia="Arial Nova" w:hAnsi="Arial Nova Light" w:cs="Arial"/>
          <w:sz w:val="24"/>
          <w:szCs w:val="24"/>
        </w:rPr>
        <w:t>que,</w:t>
      </w:r>
      <w:r w:rsidR="00C807E0" w:rsidRPr="000C549E">
        <w:rPr>
          <w:rFonts w:ascii="Arial Nova Light" w:eastAsia="Arial Nova" w:hAnsi="Arial Nova Light" w:cs="Arial"/>
          <w:sz w:val="24"/>
          <w:szCs w:val="24"/>
        </w:rPr>
        <w:t xml:space="preserve"> de entrada, en el caso no se actualiza, pues el promovente acude en su propio derecho, y no como representante de una colectividad. </w:t>
      </w:r>
    </w:p>
    <w:p w14:paraId="7B303B1A" w14:textId="04586151" w:rsidR="00AA711A" w:rsidRPr="000C549E" w:rsidRDefault="00AA711A"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sz w:val="24"/>
          <w:szCs w:val="24"/>
        </w:rPr>
      </w:pPr>
    </w:p>
    <w:p w14:paraId="0DB3EE48" w14:textId="09C46380" w:rsidR="006017F4" w:rsidRPr="000C549E" w:rsidRDefault="00AA711A"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sz w:val="24"/>
          <w:szCs w:val="24"/>
          <w:shd w:val="clear" w:color="auto" w:fill="FFFFFF"/>
        </w:rPr>
      </w:pPr>
      <w:r w:rsidRPr="000C549E">
        <w:rPr>
          <w:rFonts w:ascii="Arial Nova Light" w:eastAsia="Arial Nova" w:hAnsi="Arial Nova Light" w:cs="Arial"/>
          <w:sz w:val="24"/>
          <w:szCs w:val="24"/>
        </w:rPr>
        <w:t>Además, la propia Sala Superior en el expediente SUP-REC-103/2021</w:t>
      </w:r>
      <w:r w:rsidR="0023590F" w:rsidRPr="000C549E">
        <w:rPr>
          <w:rStyle w:val="Refdenotaalpie"/>
          <w:rFonts w:ascii="Arial Nova Light" w:eastAsia="Arial Nova" w:hAnsi="Arial Nova Light" w:cs="Arial"/>
          <w:sz w:val="24"/>
          <w:szCs w:val="24"/>
        </w:rPr>
        <w:footnoteReference w:id="11"/>
      </w:r>
      <w:r w:rsidRPr="000C549E">
        <w:rPr>
          <w:rFonts w:ascii="Arial Nova Light" w:eastAsia="Arial Nova" w:hAnsi="Arial Nova Light" w:cs="Arial"/>
          <w:sz w:val="24"/>
          <w:szCs w:val="24"/>
        </w:rPr>
        <w:t>, señala que ha sido criterio que para probar el interés legítimo se debe acreditar que</w:t>
      </w:r>
      <w:r w:rsidRPr="000C549E">
        <w:rPr>
          <w:rFonts w:ascii="Arial Nova Light" w:hAnsi="Arial Nova Light" w:cs="Arial"/>
          <w:sz w:val="24"/>
          <w:szCs w:val="24"/>
          <w:shd w:val="clear" w:color="auto" w:fill="FFFFFF"/>
        </w:rPr>
        <w:t>: </w:t>
      </w:r>
      <w:r w:rsidRPr="000C549E">
        <w:rPr>
          <w:rFonts w:ascii="Arial Nova Light" w:hAnsi="Arial Nova Light" w:cs="Arial"/>
          <w:b/>
          <w:bCs/>
          <w:sz w:val="24"/>
          <w:szCs w:val="24"/>
          <w:shd w:val="clear" w:color="auto" w:fill="FFFFFF"/>
        </w:rPr>
        <w:t>i) </w:t>
      </w:r>
      <w:r w:rsidRPr="000C549E">
        <w:rPr>
          <w:rFonts w:ascii="Arial Nova Light" w:hAnsi="Arial Nova Light" w:cs="Arial"/>
          <w:sz w:val="24"/>
          <w:szCs w:val="24"/>
          <w:shd w:val="clear" w:color="auto" w:fill="FFFFFF"/>
        </w:rPr>
        <w:t>existe una norma en la que se establezca o tutele algún interés legítimo en beneficio de un derecho de una colectividad; </w:t>
      </w:r>
      <w:r w:rsidRPr="000C549E">
        <w:rPr>
          <w:rFonts w:ascii="Arial Nova Light" w:hAnsi="Arial Nova Light" w:cs="Arial"/>
          <w:b/>
          <w:bCs/>
          <w:sz w:val="24"/>
          <w:szCs w:val="24"/>
          <w:shd w:val="clear" w:color="auto" w:fill="FFFFFF"/>
        </w:rPr>
        <w:t>ii) </w:t>
      </w:r>
      <w:r w:rsidRPr="000C549E">
        <w:rPr>
          <w:rFonts w:ascii="Arial Nova Light" w:hAnsi="Arial Nova Light" w:cs="Arial"/>
          <w:sz w:val="24"/>
          <w:szCs w:val="24"/>
          <w:shd w:val="clear" w:color="auto" w:fill="FFFFFF"/>
        </w:rPr>
        <w:t>el acto reclamado transgrede ese interés legítimo, por la situación que guarda el ciudadano accionante frente al ordenamiento jurídico, ya sea de manera individual o colectiva y, </w:t>
      </w:r>
      <w:r w:rsidRPr="000C549E">
        <w:rPr>
          <w:rFonts w:ascii="Arial Nova Light" w:hAnsi="Arial Nova Light" w:cs="Arial"/>
          <w:b/>
          <w:bCs/>
          <w:sz w:val="24"/>
          <w:szCs w:val="24"/>
          <w:shd w:val="clear" w:color="auto" w:fill="FFFFFF"/>
        </w:rPr>
        <w:t>iii) </w:t>
      </w:r>
      <w:r w:rsidRPr="000C549E">
        <w:rPr>
          <w:rFonts w:ascii="Arial Nova Light" w:hAnsi="Arial Nova Light" w:cs="Arial"/>
          <w:sz w:val="24"/>
          <w:szCs w:val="24"/>
          <w:shd w:val="clear" w:color="auto" w:fill="FFFFFF"/>
        </w:rPr>
        <w:t>el promovente pertenece a esa colectividad.</w:t>
      </w:r>
    </w:p>
    <w:p w14:paraId="4E29D11C" w14:textId="3547EE13" w:rsidR="00CE68CB" w:rsidRPr="000C549E" w:rsidRDefault="00CE68CB"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sz w:val="24"/>
          <w:szCs w:val="24"/>
          <w:shd w:val="clear" w:color="auto" w:fill="FFFFFF"/>
        </w:rPr>
      </w:pPr>
    </w:p>
    <w:p w14:paraId="23850CA5" w14:textId="0222F1A6" w:rsidR="00CE68CB" w:rsidRPr="000C549E" w:rsidRDefault="00CE68CB"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sz w:val="24"/>
          <w:szCs w:val="24"/>
          <w:shd w:val="clear" w:color="auto" w:fill="FFFFFF"/>
        </w:rPr>
      </w:pPr>
      <w:r w:rsidRPr="000C549E">
        <w:rPr>
          <w:rFonts w:ascii="Arial Nova Light" w:hAnsi="Arial Nova Light" w:cs="Arial"/>
          <w:sz w:val="24"/>
          <w:szCs w:val="24"/>
          <w:shd w:val="clear" w:color="auto" w:fill="FFFFFF"/>
        </w:rPr>
        <w:t>De esta manera, tenemos que el interés legítimo supone una afectación jurídica a la esfera de derechos de quien reclama la violación, por lo cual éste debe demostrar ese agravio y su pertenencia al grupo que en específico sufrió o sufre el agravio que se aduce en la demanda. También debe considerarse que los elementos constitutivos del interés legítimo son concurrentes, por tanto, basta la ausencia de alguno de ellos para que el medio de defensa intentado sea improcedente.</w:t>
      </w:r>
    </w:p>
    <w:p w14:paraId="19A1E640" w14:textId="77777777" w:rsidR="006017F4" w:rsidRPr="000C549E" w:rsidRDefault="006017F4"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sz w:val="24"/>
          <w:szCs w:val="24"/>
          <w:shd w:val="clear" w:color="auto" w:fill="FFFFFF"/>
        </w:rPr>
      </w:pPr>
    </w:p>
    <w:p w14:paraId="7AC3CB64" w14:textId="02C75B0A" w:rsidR="00EF4C52" w:rsidRPr="000C549E" w:rsidRDefault="00EF4C52"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sz w:val="24"/>
          <w:szCs w:val="24"/>
        </w:rPr>
      </w:pPr>
      <w:r w:rsidRPr="000C549E">
        <w:rPr>
          <w:rFonts w:ascii="Arial Nova Light" w:hAnsi="Arial Nova Light" w:cs="Arial"/>
          <w:sz w:val="24"/>
          <w:szCs w:val="24"/>
        </w:rPr>
        <w:t>Así, una vez analizada la demanda y sus alegaciones en específico est</w:t>
      </w:r>
      <w:r w:rsidR="004E3972" w:rsidRPr="000C549E">
        <w:rPr>
          <w:rFonts w:ascii="Arial Nova Light" w:hAnsi="Arial Nova Light" w:cs="Arial"/>
          <w:sz w:val="24"/>
          <w:szCs w:val="24"/>
        </w:rPr>
        <w:t xml:space="preserve">e Tribunal </w:t>
      </w:r>
      <w:r w:rsidRPr="000C549E">
        <w:rPr>
          <w:rFonts w:ascii="Arial Nova Light" w:hAnsi="Arial Nova Light" w:cs="Arial"/>
          <w:sz w:val="24"/>
          <w:szCs w:val="24"/>
        </w:rPr>
        <w:t>considera que</w:t>
      </w:r>
      <w:r w:rsidR="004E3972" w:rsidRPr="000C549E">
        <w:rPr>
          <w:rFonts w:ascii="Arial Nova Light" w:hAnsi="Arial Nova Light" w:cs="Arial"/>
          <w:sz w:val="24"/>
          <w:szCs w:val="24"/>
        </w:rPr>
        <w:t xml:space="preserve"> el</w:t>
      </w:r>
      <w:r w:rsidRPr="000C549E">
        <w:rPr>
          <w:rFonts w:ascii="Arial Nova Light" w:hAnsi="Arial Nova Light" w:cs="Arial"/>
          <w:sz w:val="24"/>
          <w:szCs w:val="24"/>
        </w:rPr>
        <w:t xml:space="preserve"> actor carece de </w:t>
      </w:r>
      <w:r w:rsidRPr="000C549E">
        <w:rPr>
          <w:rFonts w:ascii="Arial Nova Light" w:hAnsi="Arial Nova Light" w:cs="Arial"/>
          <w:b/>
          <w:bCs/>
          <w:sz w:val="24"/>
          <w:szCs w:val="24"/>
        </w:rPr>
        <w:t>interés jurídico</w:t>
      </w:r>
      <w:r w:rsidRPr="000C549E">
        <w:rPr>
          <w:rFonts w:ascii="Arial Nova Light" w:hAnsi="Arial Nova Light" w:cs="Arial"/>
          <w:sz w:val="24"/>
          <w:szCs w:val="24"/>
        </w:rPr>
        <w:t xml:space="preserve"> porque no logra demostrar que tengan un derecho subjetivo en la normativa que le permita </w:t>
      </w:r>
      <w:r w:rsidR="004E3972" w:rsidRPr="000C549E">
        <w:rPr>
          <w:rFonts w:ascii="Arial Nova Light" w:hAnsi="Arial Nova Light" w:cs="Arial"/>
          <w:sz w:val="24"/>
          <w:szCs w:val="24"/>
        </w:rPr>
        <w:t xml:space="preserve">inconformarse de manera efectiva del acto reclamado. </w:t>
      </w:r>
    </w:p>
    <w:p w14:paraId="099E9861" w14:textId="24488247" w:rsidR="004E3972" w:rsidRPr="000C549E" w:rsidRDefault="004E3972"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sz w:val="24"/>
          <w:szCs w:val="24"/>
        </w:rPr>
      </w:pPr>
    </w:p>
    <w:p w14:paraId="0CBAAABF" w14:textId="0D9254E0" w:rsidR="004E3972" w:rsidRPr="000C549E" w:rsidRDefault="004E3972"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sz w:val="24"/>
          <w:szCs w:val="24"/>
        </w:rPr>
      </w:pPr>
      <w:r w:rsidRPr="000C549E">
        <w:rPr>
          <w:rFonts w:ascii="Arial Nova Light" w:hAnsi="Arial Nova Light" w:cs="Arial"/>
          <w:sz w:val="24"/>
          <w:szCs w:val="24"/>
        </w:rPr>
        <w:t xml:space="preserve">Aun cuando pudiera alegar el derecho al voto y a la equidad en la contienda, </w:t>
      </w:r>
      <w:r w:rsidR="00011F1D" w:rsidRPr="000C549E">
        <w:rPr>
          <w:rFonts w:ascii="Arial Nova Light" w:hAnsi="Arial Nova Light" w:cs="Arial"/>
          <w:sz w:val="24"/>
          <w:szCs w:val="24"/>
        </w:rPr>
        <w:t>situación que no se ve reflejada en su demanda,</w:t>
      </w:r>
      <w:r w:rsidRPr="000C549E">
        <w:rPr>
          <w:rFonts w:ascii="Arial Nova Light" w:hAnsi="Arial Nova Light" w:cs="Arial"/>
          <w:sz w:val="24"/>
          <w:szCs w:val="24"/>
        </w:rPr>
        <w:t xml:space="preserve"> esos derechos no se ven ni siquiera afectados por el acto reclamado.</w:t>
      </w:r>
    </w:p>
    <w:p w14:paraId="41CEC268" w14:textId="77777777" w:rsidR="00011F1D" w:rsidRPr="000C549E" w:rsidRDefault="00011F1D"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sz w:val="24"/>
          <w:szCs w:val="24"/>
        </w:rPr>
      </w:pPr>
    </w:p>
    <w:p w14:paraId="3F036B58" w14:textId="2390A210" w:rsidR="006017F4" w:rsidRPr="000C549E" w:rsidRDefault="00011F1D"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cs="Arial"/>
          <w:sz w:val="24"/>
          <w:szCs w:val="24"/>
        </w:rPr>
      </w:pPr>
      <w:r w:rsidRPr="000C549E">
        <w:rPr>
          <w:rFonts w:ascii="Arial Nova Light" w:hAnsi="Arial Nova Light" w:cs="Arial"/>
          <w:sz w:val="24"/>
          <w:szCs w:val="24"/>
        </w:rPr>
        <w:t>Esto porque, por un lado, no se afecta la posibilidad jurídica de ejercer plenamente su derecho a votar, pues el acto reclamado no restringe, condiciona, limita o modula ese derecho, es decir, la ciudadanía podrá elegir libremente a quien otorga</w:t>
      </w:r>
      <w:r w:rsidR="00D247EA" w:rsidRPr="000C549E">
        <w:rPr>
          <w:rFonts w:ascii="Arial Nova Light" w:hAnsi="Arial Nova Light" w:cs="Arial"/>
          <w:sz w:val="24"/>
          <w:szCs w:val="24"/>
        </w:rPr>
        <w:t>r</w:t>
      </w:r>
      <w:r w:rsidRPr="000C549E">
        <w:rPr>
          <w:rFonts w:ascii="Arial Nova Light" w:hAnsi="Arial Nova Light" w:cs="Arial"/>
          <w:sz w:val="24"/>
          <w:szCs w:val="24"/>
        </w:rPr>
        <w:t xml:space="preserve"> su voto y así expresarlo el día de la jornada electoral; sin que el acto reclamado en el juicio esté relacionado con ese derecho.</w:t>
      </w:r>
    </w:p>
    <w:p w14:paraId="41D49423" w14:textId="77777777" w:rsidR="00D247EA" w:rsidRPr="000C549E" w:rsidRDefault="00D247EA"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p>
    <w:p w14:paraId="2EB2F6C6" w14:textId="2417AA06" w:rsidR="00D247EA" w:rsidRPr="000C549E" w:rsidRDefault="00B5798E"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r w:rsidRPr="000C549E">
        <w:rPr>
          <w:rFonts w:ascii="Arial Nova Light" w:hAnsi="Arial Nova Light"/>
          <w:sz w:val="24"/>
          <w:szCs w:val="24"/>
        </w:rPr>
        <w:t>Por otro lado</w:t>
      </w:r>
      <w:r w:rsidR="00D247EA" w:rsidRPr="000C549E">
        <w:rPr>
          <w:rFonts w:ascii="Arial Nova Light" w:hAnsi="Arial Nova Light"/>
          <w:sz w:val="24"/>
          <w:szCs w:val="24"/>
        </w:rPr>
        <w:t xml:space="preserve">, el promovente, no recibe una afectación en la equidad en la contienda, o el derecho de ser votado, porque </w:t>
      </w:r>
      <w:r w:rsidR="008B663E" w:rsidRPr="000C549E">
        <w:rPr>
          <w:rFonts w:ascii="Arial Nova Light" w:hAnsi="Arial Nova Light"/>
          <w:sz w:val="24"/>
          <w:szCs w:val="24"/>
        </w:rPr>
        <w:t xml:space="preserve">de las constancias, </w:t>
      </w:r>
      <w:r w:rsidR="003B728D" w:rsidRPr="000C549E">
        <w:rPr>
          <w:rFonts w:ascii="Arial Nova Light" w:hAnsi="Arial Nova Light"/>
          <w:sz w:val="24"/>
          <w:szCs w:val="24"/>
        </w:rPr>
        <w:t xml:space="preserve">tal como lo ha señalado Sala Superior </w:t>
      </w:r>
      <w:r w:rsidR="003B728D" w:rsidRPr="000C549E">
        <w:rPr>
          <w:rFonts w:ascii="Arial Nova Light" w:hAnsi="Arial Nova Light"/>
          <w:sz w:val="24"/>
          <w:szCs w:val="24"/>
        </w:rPr>
        <w:lastRenderedPageBreak/>
        <w:t xml:space="preserve">en el expediente SUP-JDC-0198/2018, </w:t>
      </w:r>
      <w:r w:rsidR="008B663E" w:rsidRPr="000C549E">
        <w:rPr>
          <w:rFonts w:ascii="Arial Nova Light" w:hAnsi="Arial Nova Light"/>
          <w:sz w:val="24"/>
          <w:szCs w:val="24"/>
        </w:rPr>
        <w:t xml:space="preserve">no se advierte que sea candidato o aspirante a candidatura alguna, </w:t>
      </w:r>
      <w:r w:rsidR="00D247EA" w:rsidRPr="000C549E">
        <w:rPr>
          <w:rFonts w:ascii="Arial Nova Light" w:hAnsi="Arial Nova Light"/>
          <w:sz w:val="24"/>
          <w:szCs w:val="24"/>
        </w:rPr>
        <w:t xml:space="preserve">y, por tanto, formalmente no </w:t>
      </w:r>
      <w:r w:rsidR="008B663E" w:rsidRPr="000C549E">
        <w:rPr>
          <w:rFonts w:ascii="Arial Nova Light" w:hAnsi="Arial Nova Light"/>
          <w:sz w:val="24"/>
          <w:szCs w:val="24"/>
        </w:rPr>
        <w:t>es</w:t>
      </w:r>
      <w:r w:rsidR="00D247EA" w:rsidRPr="000C549E">
        <w:rPr>
          <w:rFonts w:ascii="Arial Nova Light" w:hAnsi="Arial Nova Light"/>
          <w:sz w:val="24"/>
          <w:szCs w:val="24"/>
        </w:rPr>
        <w:t xml:space="preserve"> contendiente; de manera que el acto reclamado no es susceptible de generar agravio a alguno de sus derechos.</w:t>
      </w:r>
    </w:p>
    <w:p w14:paraId="2C15BCE1" w14:textId="7B3903FC" w:rsidR="00302602" w:rsidRPr="000C549E" w:rsidRDefault="00302602"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p>
    <w:p w14:paraId="555AC59E" w14:textId="5EAC4D02" w:rsidR="00302602" w:rsidRPr="000C549E" w:rsidRDefault="00B5798E"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r w:rsidRPr="000C549E">
        <w:rPr>
          <w:rFonts w:ascii="Arial Nova Light" w:hAnsi="Arial Nova Light"/>
          <w:sz w:val="24"/>
          <w:szCs w:val="24"/>
        </w:rPr>
        <w:t>Así pues</w:t>
      </w:r>
      <w:r w:rsidR="00302602" w:rsidRPr="000C549E">
        <w:rPr>
          <w:rFonts w:ascii="Arial Nova Light" w:hAnsi="Arial Nova Light"/>
          <w:sz w:val="24"/>
          <w:szCs w:val="24"/>
        </w:rPr>
        <w:t xml:space="preserve">, </w:t>
      </w:r>
      <w:r w:rsidRPr="000C549E">
        <w:rPr>
          <w:rFonts w:ascii="Arial Nova Light" w:hAnsi="Arial Nova Light"/>
          <w:sz w:val="24"/>
          <w:szCs w:val="24"/>
        </w:rPr>
        <w:t xml:space="preserve">como ya se consideró en párrafos anteriores, </w:t>
      </w:r>
      <w:r w:rsidR="00302602" w:rsidRPr="000C549E">
        <w:rPr>
          <w:rFonts w:ascii="Arial Nova Light" w:hAnsi="Arial Nova Light"/>
          <w:sz w:val="24"/>
          <w:szCs w:val="24"/>
        </w:rPr>
        <w:t xml:space="preserve">este Tribunal </w:t>
      </w:r>
      <w:r w:rsidRPr="000C549E">
        <w:rPr>
          <w:rFonts w:ascii="Arial Nova Light" w:hAnsi="Arial Nova Light"/>
          <w:sz w:val="24"/>
          <w:szCs w:val="24"/>
        </w:rPr>
        <w:t>advierte</w:t>
      </w:r>
      <w:r w:rsidR="00302602" w:rsidRPr="000C549E">
        <w:rPr>
          <w:rFonts w:ascii="Arial Nova Light" w:hAnsi="Arial Nova Light"/>
          <w:sz w:val="24"/>
          <w:szCs w:val="24"/>
        </w:rPr>
        <w:t xml:space="preserve"> que tampoco tiene </w:t>
      </w:r>
      <w:r w:rsidR="00302602" w:rsidRPr="000C549E">
        <w:rPr>
          <w:rFonts w:ascii="Arial Nova Light" w:hAnsi="Arial Nova Light"/>
          <w:b/>
          <w:bCs/>
          <w:sz w:val="24"/>
          <w:szCs w:val="24"/>
        </w:rPr>
        <w:t>interés legítimo</w:t>
      </w:r>
      <w:r w:rsidR="00302602" w:rsidRPr="000C549E">
        <w:rPr>
          <w:rFonts w:ascii="Arial Nova Light" w:hAnsi="Arial Nova Light"/>
          <w:sz w:val="24"/>
          <w:szCs w:val="24"/>
        </w:rPr>
        <w:t>, pues no se advierte que el actor pertenezca a una colectividad o</w:t>
      </w:r>
      <w:r w:rsidR="0060364E" w:rsidRPr="000C549E">
        <w:rPr>
          <w:rFonts w:ascii="Arial Nova Light" w:hAnsi="Arial Nova Light"/>
          <w:sz w:val="24"/>
          <w:szCs w:val="24"/>
        </w:rPr>
        <w:t xml:space="preserve"> </w:t>
      </w:r>
      <w:r w:rsidR="00302602" w:rsidRPr="000C549E">
        <w:rPr>
          <w:rFonts w:ascii="Arial Nova Light" w:hAnsi="Arial Nova Light"/>
          <w:sz w:val="24"/>
          <w:szCs w:val="24"/>
        </w:rPr>
        <w:t>tenga una situación relevante que lo ponga en una posición especial o cualificada frente al ordenamiento jurídico, de manera tal que la anulación del acto reclamado le redunde en un beneficio relacionado con sus derechos u obligaciones electorales.</w:t>
      </w:r>
      <w:r w:rsidRPr="000C549E">
        <w:rPr>
          <w:rFonts w:ascii="Arial Nova Light" w:hAnsi="Arial Nova Light"/>
          <w:sz w:val="24"/>
          <w:szCs w:val="24"/>
        </w:rPr>
        <w:t xml:space="preserve"> </w:t>
      </w:r>
    </w:p>
    <w:p w14:paraId="5F7375F9" w14:textId="6B81C345" w:rsidR="00995955" w:rsidRPr="000C549E" w:rsidRDefault="00995955"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p>
    <w:p w14:paraId="1BD384B6" w14:textId="73878063" w:rsidR="00995955" w:rsidRPr="000C549E" w:rsidRDefault="00995955" w:rsidP="00995955">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r w:rsidRPr="000C549E">
        <w:rPr>
          <w:rFonts w:ascii="Arial Nova Light" w:hAnsi="Arial Nova Light"/>
          <w:sz w:val="24"/>
          <w:szCs w:val="24"/>
        </w:rPr>
        <w:t xml:space="preserve">Lo anterior, pues de estimar procedente las pretensiones del actor, en este caso no se traducirían en un beneficio directo y específico para </w:t>
      </w:r>
      <w:r w:rsidR="008604F1" w:rsidRPr="000C549E">
        <w:rPr>
          <w:rFonts w:ascii="Arial Nova Light" w:hAnsi="Arial Nova Light"/>
          <w:sz w:val="24"/>
          <w:szCs w:val="24"/>
        </w:rPr>
        <w:t>él</w:t>
      </w:r>
      <w:r w:rsidRPr="000C549E">
        <w:rPr>
          <w:rFonts w:ascii="Arial Nova Light" w:hAnsi="Arial Nova Light"/>
          <w:sz w:val="24"/>
          <w:szCs w:val="24"/>
        </w:rPr>
        <w:t xml:space="preserve">, ya que el efecto sería anular el registro de un aspirante a una candidatura en una elección en </w:t>
      </w:r>
      <w:r w:rsidR="0077296A" w:rsidRPr="000C549E">
        <w:rPr>
          <w:rFonts w:ascii="Arial Nova Light" w:hAnsi="Arial Nova Light"/>
          <w:sz w:val="24"/>
          <w:szCs w:val="24"/>
        </w:rPr>
        <w:t>quien promueve,</w:t>
      </w:r>
      <w:r w:rsidRPr="000C549E">
        <w:rPr>
          <w:rFonts w:ascii="Arial Nova Light" w:hAnsi="Arial Nova Light"/>
          <w:sz w:val="24"/>
          <w:szCs w:val="24"/>
        </w:rPr>
        <w:t xml:space="preserve"> no participa como competidor.</w:t>
      </w:r>
    </w:p>
    <w:p w14:paraId="41588D12" w14:textId="77777777" w:rsidR="00D832B8" w:rsidRPr="000C549E" w:rsidRDefault="00D832B8"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p>
    <w:p w14:paraId="5F658924" w14:textId="6EA61E18" w:rsidR="00995955" w:rsidRPr="000C549E" w:rsidRDefault="00D832B8"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r w:rsidRPr="000C549E">
        <w:rPr>
          <w:rFonts w:ascii="Arial Nova Light" w:hAnsi="Arial Nova Light"/>
          <w:sz w:val="24"/>
          <w:szCs w:val="24"/>
        </w:rPr>
        <w:t xml:space="preserve">Así el interés que alega el accionante en el sentido de tutelar </w:t>
      </w:r>
      <w:r w:rsidR="00302953" w:rsidRPr="000C549E">
        <w:rPr>
          <w:rFonts w:ascii="Arial Nova Light" w:hAnsi="Arial Nova Light"/>
          <w:sz w:val="24"/>
          <w:szCs w:val="24"/>
        </w:rPr>
        <w:t>los principios</w:t>
      </w:r>
      <w:r w:rsidRPr="000C549E">
        <w:rPr>
          <w:rFonts w:ascii="Arial Nova Light" w:hAnsi="Arial Nova Light"/>
          <w:sz w:val="24"/>
          <w:szCs w:val="24"/>
        </w:rPr>
        <w:t xml:space="preserve"> de constitucionalidad, legalidad, de </w:t>
      </w:r>
      <w:r w:rsidR="00204A19" w:rsidRPr="000C549E">
        <w:rPr>
          <w:rFonts w:ascii="Arial Nova Light" w:hAnsi="Arial Nova Light"/>
          <w:sz w:val="24"/>
          <w:szCs w:val="24"/>
        </w:rPr>
        <w:t>imparcialidad</w:t>
      </w:r>
      <w:r w:rsidRPr="000C549E">
        <w:rPr>
          <w:rFonts w:ascii="Arial Nova Light" w:hAnsi="Arial Nova Light"/>
          <w:sz w:val="24"/>
          <w:szCs w:val="24"/>
        </w:rPr>
        <w:t>, certeza</w:t>
      </w:r>
      <w:r w:rsidR="00204A19" w:rsidRPr="000C549E">
        <w:rPr>
          <w:rFonts w:ascii="Arial Nova Light" w:hAnsi="Arial Nova Light"/>
          <w:sz w:val="24"/>
          <w:szCs w:val="24"/>
        </w:rPr>
        <w:t xml:space="preserve"> y definitividad, </w:t>
      </w:r>
      <w:r w:rsidRPr="000C549E">
        <w:rPr>
          <w:rFonts w:ascii="Arial Nova Light" w:hAnsi="Arial Nova Light"/>
          <w:sz w:val="24"/>
          <w:szCs w:val="24"/>
        </w:rPr>
        <w:t>es un interés que puede tener cualquier ciudadano, cualquier votante o cualquier interesado en que los actos del Estado se lleven conforme a lo que dictan las normas aplicables</w:t>
      </w:r>
      <w:r w:rsidR="00302953" w:rsidRPr="000C549E">
        <w:rPr>
          <w:rFonts w:ascii="Arial Nova Light" w:hAnsi="Arial Nova Light"/>
          <w:sz w:val="24"/>
          <w:szCs w:val="24"/>
        </w:rPr>
        <w:t>, l</w:t>
      </w:r>
      <w:r w:rsidR="00204A19" w:rsidRPr="000C549E">
        <w:rPr>
          <w:rFonts w:ascii="Arial Nova Light" w:hAnsi="Arial Nova Light"/>
          <w:sz w:val="24"/>
          <w:szCs w:val="24"/>
        </w:rPr>
        <w:t xml:space="preserve">o anterior, </w:t>
      </w:r>
      <w:r w:rsidRPr="000C549E">
        <w:rPr>
          <w:rFonts w:ascii="Arial Nova Light" w:hAnsi="Arial Nova Light"/>
          <w:sz w:val="24"/>
          <w:szCs w:val="24"/>
        </w:rPr>
        <w:t xml:space="preserve">corresponde más con un </w:t>
      </w:r>
      <w:r w:rsidRPr="000C549E">
        <w:rPr>
          <w:rFonts w:ascii="Arial Nova Light" w:hAnsi="Arial Nova Light"/>
          <w:b/>
          <w:bCs/>
          <w:sz w:val="24"/>
          <w:szCs w:val="24"/>
        </w:rPr>
        <w:t>interés simple</w:t>
      </w:r>
      <w:r w:rsidRPr="000C549E">
        <w:rPr>
          <w:rFonts w:ascii="Arial Nova Light" w:hAnsi="Arial Nova Light"/>
          <w:sz w:val="24"/>
          <w:szCs w:val="24"/>
        </w:rPr>
        <w:t>, tal como lo ha definido la Primera Sala de la Suprema Corte de Justicia de la Nación</w:t>
      </w:r>
      <w:r w:rsidR="00302953" w:rsidRPr="000C549E">
        <w:rPr>
          <w:rStyle w:val="Refdenotaalpie"/>
          <w:rFonts w:ascii="Arial Nova Light" w:hAnsi="Arial Nova Light"/>
          <w:sz w:val="24"/>
          <w:szCs w:val="24"/>
        </w:rPr>
        <w:footnoteReference w:id="12"/>
      </w:r>
      <w:r w:rsidRPr="000C549E">
        <w:rPr>
          <w:rFonts w:ascii="Arial Nova Light" w:hAnsi="Arial Nova Light"/>
          <w:sz w:val="24"/>
          <w:szCs w:val="24"/>
        </w:rPr>
        <w:t xml:space="preserve">. </w:t>
      </w:r>
    </w:p>
    <w:p w14:paraId="75DD63F2" w14:textId="4950240A" w:rsidR="009A4338" w:rsidRPr="000C549E" w:rsidRDefault="009A4338"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p>
    <w:p w14:paraId="7DFCFD54" w14:textId="4F8D0E92" w:rsidR="00995955" w:rsidRPr="000C549E" w:rsidRDefault="00995955"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r w:rsidRPr="000C549E">
        <w:rPr>
          <w:rFonts w:ascii="Arial Nova Light" w:hAnsi="Arial Nova Light"/>
          <w:sz w:val="24"/>
          <w:szCs w:val="24"/>
        </w:rPr>
        <w:t>Entonces</w:t>
      </w:r>
      <w:r w:rsidR="00D832B8" w:rsidRPr="000C549E">
        <w:rPr>
          <w:rFonts w:ascii="Arial Nova Light" w:hAnsi="Arial Nova Light"/>
          <w:sz w:val="24"/>
          <w:szCs w:val="24"/>
        </w:rPr>
        <w:t>, un interés simple</w:t>
      </w:r>
      <w:r w:rsidR="0060364E" w:rsidRPr="000C549E">
        <w:rPr>
          <w:rStyle w:val="Refdenotaalpie"/>
          <w:rFonts w:ascii="Arial Nova Light" w:hAnsi="Arial Nova Light" w:cs="Arial"/>
          <w:sz w:val="24"/>
          <w:szCs w:val="24"/>
        </w:rPr>
        <w:footnoteReference w:id="13"/>
      </w:r>
      <w:r w:rsidR="0060364E" w:rsidRPr="000C549E">
        <w:rPr>
          <w:rFonts w:ascii="Arial Nova Light" w:hAnsi="Arial Nova Light" w:cs="Arial"/>
          <w:sz w:val="24"/>
          <w:szCs w:val="24"/>
        </w:rPr>
        <w:t>,</w:t>
      </w:r>
      <w:r w:rsidR="00D832B8" w:rsidRPr="000C549E">
        <w:rPr>
          <w:rFonts w:ascii="Arial Nova Light" w:hAnsi="Arial Nova Light"/>
          <w:sz w:val="24"/>
          <w:szCs w:val="24"/>
        </w:rPr>
        <w:t xml:space="preserve"> o jurídicamente irrelevante se entiende “como el que puede tener cualquier persona por alguna acción u omisión del Estado pero que, en caso de satisfacerse, no se traducirá en un beneficio personal para el interesado”.</w:t>
      </w:r>
      <w:r w:rsidR="0060364E" w:rsidRPr="000C549E">
        <w:rPr>
          <w:rStyle w:val="Refdenotaalpie"/>
          <w:rFonts w:ascii="Arial Nova Light" w:hAnsi="Arial Nova Light" w:cs="Arial"/>
          <w:sz w:val="24"/>
          <w:szCs w:val="24"/>
        </w:rPr>
        <w:t xml:space="preserve"> </w:t>
      </w:r>
      <w:r w:rsidR="0060364E" w:rsidRPr="000C549E">
        <w:rPr>
          <w:rStyle w:val="Refdenotaalpie"/>
          <w:rFonts w:ascii="Arial Nova Light" w:hAnsi="Arial Nova Light" w:cs="Arial"/>
          <w:sz w:val="24"/>
          <w:szCs w:val="24"/>
        </w:rPr>
        <w:footnoteReference w:id="14"/>
      </w:r>
    </w:p>
    <w:p w14:paraId="4C8E06B9" w14:textId="7FA4B308" w:rsidR="00995955" w:rsidRPr="000C549E" w:rsidRDefault="00995955"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p>
    <w:p w14:paraId="6C753336" w14:textId="6D3B0773" w:rsidR="00995955" w:rsidRPr="000C549E" w:rsidRDefault="00995955"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r w:rsidRPr="000C549E">
        <w:rPr>
          <w:rFonts w:ascii="Arial Nova Light" w:hAnsi="Arial Nova Light"/>
          <w:sz w:val="24"/>
          <w:szCs w:val="24"/>
        </w:rPr>
        <w:t>De este modo, de acuerdo con la ley y la jurisprudencia</w:t>
      </w:r>
      <w:r w:rsidR="00A25A0D" w:rsidRPr="000C549E">
        <w:rPr>
          <w:rStyle w:val="Refdenotaalpie"/>
          <w:rFonts w:ascii="Arial Nova Light" w:hAnsi="Arial Nova Light"/>
          <w:sz w:val="24"/>
          <w:szCs w:val="24"/>
        </w:rPr>
        <w:footnoteReference w:id="15"/>
      </w:r>
      <w:r w:rsidRPr="000C549E">
        <w:rPr>
          <w:rFonts w:ascii="Arial Nova Light" w:hAnsi="Arial Nova Light"/>
          <w:sz w:val="24"/>
          <w:szCs w:val="24"/>
        </w:rPr>
        <w:t xml:space="preserve"> el juicio ciudadano sólo es procedente para revisar los actos o las resoluciones de la autoridad que pueden producir </w:t>
      </w:r>
      <w:r w:rsidRPr="000C549E">
        <w:rPr>
          <w:rFonts w:ascii="Arial Nova Light" w:hAnsi="Arial Nova Light"/>
          <w:sz w:val="24"/>
          <w:szCs w:val="24"/>
        </w:rPr>
        <w:lastRenderedPageBreak/>
        <w:t>una afectación individualizada, cierta, directa e inmediata en el contenido de los derechos político-electorales del ciudadano de votar, ser votado o de asociación, entonces, en este caso en concreto debe desecharse el juicio porque no se surte ese requisito de procedencia</w:t>
      </w:r>
    </w:p>
    <w:p w14:paraId="73EB282B" w14:textId="1F70EA2A" w:rsidR="00F77E3C" w:rsidRPr="000C549E" w:rsidRDefault="00F77E3C" w:rsidP="006017F4">
      <w:pPr>
        <w:pStyle w:val="Prrafodelista"/>
        <w:pBdr>
          <w:top w:val="nil"/>
          <w:left w:val="nil"/>
          <w:bottom w:val="nil"/>
          <w:right w:val="nil"/>
          <w:between w:val="nil"/>
        </w:pBdr>
        <w:tabs>
          <w:tab w:val="left" w:pos="0"/>
        </w:tabs>
        <w:spacing w:after="0" w:line="360" w:lineRule="auto"/>
        <w:ind w:left="0"/>
        <w:jc w:val="both"/>
        <w:rPr>
          <w:rFonts w:ascii="Arial Nova Light" w:hAnsi="Arial Nova Light"/>
          <w:sz w:val="24"/>
          <w:szCs w:val="24"/>
        </w:rPr>
      </w:pPr>
    </w:p>
    <w:p w14:paraId="1A18F9AE" w14:textId="131334A0" w:rsidR="00374257" w:rsidRPr="000C549E" w:rsidRDefault="00374257" w:rsidP="005B6952">
      <w:pPr>
        <w:spacing w:line="360" w:lineRule="auto"/>
        <w:jc w:val="both"/>
        <w:rPr>
          <w:rFonts w:ascii="Arial Nova Light" w:hAnsi="Arial Nova Light" w:cs="Arial"/>
          <w:sz w:val="24"/>
          <w:szCs w:val="24"/>
          <w:lang w:bidi="en-US"/>
        </w:rPr>
      </w:pPr>
      <w:r w:rsidRPr="000C549E">
        <w:rPr>
          <w:rFonts w:ascii="Arial Nova Light" w:hAnsi="Arial Nova Light" w:cs="Arial"/>
          <w:sz w:val="24"/>
          <w:szCs w:val="24"/>
          <w:lang w:bidi="en-US"/>
        </w:rPr>
        <w:t xml:space="preserve">Así, </w:t>
      </w:r>
      <w:r w:rsidR="00073FE5" w:rsidRPr="000C549E">
        <w:rPr>
          <w:rFonts w:ascii="Arial Nova Light" w:hAnsi="Arial Nova Light" w:cs="Arial"/>
          <w:sz w:val="24"/>
          <w:szCs w:val="24"/>
          <w:lang w:bidi="en-US"/>
        </w:rPr>
        <w:t>se concluye</w:t>
      </w:r>
      <w:r w:rsidRPr="000C549E">
        <w:rPr>
          <w:rFonts w:ascii="Arial Nova Light" w:hAnsi="Arial Nova Light" w:cs="Arial"/>
          <w:sz w:val="24"/>
          <w:szCs w:val="24"/>
          <w:lang w:bidi="en-US"/>
        </w:rPr>
        <w:t xml:space="preserve"> que el actor </w:t>
      </w:r>
      <w:r w:rsidRPr="000C549E">
        <w:rPr>
          <w:rFonts w:ascii="Arial Nova Light" w:hAnsi="Arial Nova Light" w:cs="Arial"/>
          <w:b/>
          <w:bCs/>
          <w:sz w:val="24"/>
          <w:szCs w:val="24"/>
          <w:lang w:bidi="en-US"/>
        </w:rPr>
        <w:t>carece tanto de interés jurídico</w:t>
      </w:r>
      <w:r w:rsidRPr="000C549E">
        <w:rPr>
          <w:rFonts w:ascii="Arial Nova Light" w:hAnsi="Arial Nova Light" w:cs="Arial"/>
          <w:sz w:val="24"/>
          <w:szCs w:val="24"/>
          <w:lang w:bidi="en-US"/>
        </w:rPr>
        <w:t xml:space="preserve"> para controvertir el oficio de la autoridad responsable al no existir un acto específico que le genere una afectación directa e individual, </w:t>
      </w:r>
      <w:r w:rsidRPr="000C549E">
        <w:rPr>
          <w:rFonts w:ascii="Arial Nova Light" w:hAnsi="Arial Nova Light" w:cs="Arial"/>
          <w:b/>
          <w:bCs/>
          <w:sz w:val="24"/>
          <w:szCs w:val="24"/>
          <w:lang w:bidi="en-US"/>
        </w:rPr>
        <w:t>como de interés legítimo</w:t>
      </w:r>
      <w:r w:rsidRPr="000C549E">
        <w:rPr>
          <w:rFonts w:ascii="Arial Nova Light" w:hAnsi="Arial Nova Light" w:cs="Arial"/>
          <w:sz w:val="24"/>
          <w:szCs w:val="24"/>
          <w:lang w:bidi="en-US"/>
        </w:rPr>
        <w:t xml:space="preserve"> para alegar una afectación futura e incierta a la ciudadanía en general, pues su agravio no surge de una situación en particular regulada por el orden jurídico. </w:t>
      </w:r>
    </w:p>
    <w:p w14:paraId="0D4821CD" w14:textId="43BFDAD4" w:rsidR="007A321F" w:rsidRPr="000C549E" w:rsidRDefault="007A321F" w:rsidP="005B6952">
      <w:pPr>
        <w:spacing w:line="360" w:lineRule="auto"/>
        <w:jc w:val="both"/>
        <w:rPr>
          <w:rFonts w:ascii="Arial Nova Light" w:hAnsi="Arial Nova Light" w:cs="Arial"/>
          <w:sz w:val="24"/>
          <w:szCs w:val="24"/>
          <w:lang w:bidi="en-US"/>
        </w:rPr>
      </w:pPr>
      <w:r w:rsidRPr="000C549E">
        <w:rPr>
          <w:rFonts w:ascii="Arial Nova Light" w:hAnsi="Arial Nova Light" w:cs="Arial"/>
          <w:sz w:val="24"/>
          <w:szCs w:val="24"/>
          <w:lang w:bidi="en-US"/>
        </w:rPr>
        <w:t xml:space="preserve">Por consecuencia, tal como lo señaló Sala Regional Monterrey en el expediente SM-JDC-120/2021, </w:t>
      </w:r>
      <w:r w:rsidR="00853101" w:rsidRPr="000C549E">
        <w:rPr>
          <w:rFonts w:ascii="Arial Nova Light" w:hAnsi="Arial Nova Light" w:cs="Arial"/>
          <w:sz w:val="24"/>
          <w:szCs w:val="24"/>
          <w:lang w:bidi="en-US"/>
        </w:rPr>
        <w:t>si quien promueve no expresa o aporta los elementos necesarios para evidenciar que cuenta con la titularidad de un derecho subjetivo cuya vulneración alega, resulta claro que no es posible tener por satisfecho el requisito de contar con interés jurídico como pretende y menos que pueda ser restituido en el goce o ejercicio de alguna prerrogativa en caso de que se analizara el fondo del asunto.</w:t>
      </w:r>
    </w:p>
    <w:p w14:paraId="323AD50D" w14:textId="2F34CC3D" w:rsidR="00EA0A8F" w:rsidRPr="000C549E" w:rsidRDefault="00EA0A8F" w:rsidP="005B6952">
      <w:pPr>
        <w:spacing w:line="360" w:lineRule="auto"/>
        <w:jc w:val="both"/>
        <w:rPr>
          <w:rFonts w:ascii="Arial Nova Light" w:hAnsi="Arial Nova Light" w:cs="Arial"/>
          <w:sz w:val="24"/>
          <w:szCs w:val="24"/>
          <w:lang w:bidi="en-US"/>
        </w:rPr>
      </w:pPr>
      <w:r w:rsidRPr="000C549E">
        <w:rPr>
          <w:rFonts w:ascii="Arial Nova Light" w:hAnsi="Arial Nova Light" w:cs="Arial"/>
          <w:sz w:val="24"/>
          <w:szCs w:val="24"/>
          <w:lang w:bidi="en-US"/>
        </w:rPr>
        <w:t>Por lo tanto, no basta ser titular de un derecho como el de votar o ser votado, para promover un medio de impugnación en materia electoral, sino que resulta necesaria una afectación cierta y directa, que amerite la intervención del órgano jurisdiccional para reparar la vulneración acreditada y restituir en el goce y ejercicio el derecho político-electoral violado, o bien, acudir válidamente en defensa de intereses colectivos o difusos, lo cual no acontece en la especie.</w:t>
      </w:r>
      <w:r w:rsidRPr="000C549E">
        <w:rPr>
          <w:rStyle w:val="Refdenotaalpie"/>
          <w:rFonts w:ascii="Arial Nova Light" w:hAnsi="Arial Nova Light" w:cs="Arial"/>
          <w:sz w:val="24"/>
          <w:szCs w:val="24"/>
          <w:lang w:bidi="en-US"/>
        </w:rPr>
        <w:footnoteReference w:id="16"/>
      </w:r>
      <w:r w:rsidRPr="000C549E">
        <w:rPr>
          <w:rFonts w:ascii="Arial Nova Light" w:hAnsi="Arial Nova Light" w:cs="Arial"/>
          <w:sz w:val="24"/>
          <w:szCs w:val="24"/>
          <w:lang w:bidi="en-US"/>
        </w:rPr>
        <w:t xml:space="preserve"> </w:t>
      </w:r>
    </w:p>
    <w:p w14:paraId="08BD8351" w14:textId="1BD08CD0" w:rsidR="0064662C" w:rsidRPr="000C549E" w:rsidRDefault="00EA0A8F" w:rsidP="00EA0A8F">
      <w:pPr>
        <w:spacing w:line="360" w:lineRule="auto"/>
        <w:jc w:val="both"/>
        <w:rPr>
          <w:rFonts w:ascii="Arial Nova Light" w:hAnsi="Arial Nova Light"/>
          <w:sz w:val="24"/>
          <w:szCs w:val="24"/>
        </w:rPr>
      </w:pPr>
      <w:r w:rsidRPr="000C549E">
        <w:rPr>
          <w:rFonts w:ascii="Arial Nova Light" w:hAnsi="Arial Nova Light" w:cs="Arial"/>
          <w:sz w:val="24"/>
          <w:szCs w:val="24"/>
          <w:lang w:bidi="en-US"/>
        </w:rPr>
        <w:t>Así</w:t>
      </w:r>
      <w:r w:rsidR="006907FE" w:rsidRPr="000C549E">
        <w:rPr>
          <w:rFonts w:ascii="Arial Nova Light" w:hAnsi="Arial Nova Light"/>
          <w:sz w:val="24"/>
          <w:szCs w:val="24"/>
        </w:rPr>
        <w:t xml:space="preserve">, </w:t>
      </w:r>
      <w:r w:rsidR="001106C5" w:rsidRPr="000C549E">
        <w:rPr>
          <w:rFonts w:ascii="Arial Nova Light" w:hAnsi="Arial Nova Light"/>
          <w:sz w:val="24"/>
          <w:szCs w:val="24"/>
        </w:rPr>
        <w:t xml:space="preserve">este Tribunal considera que se actualiza la causal de improcedencia prevista en el artículo 304, fracción II, inciso a), toda vez que no se advierte una afectación al interés jurídico del actor. </w:t>
      </w:r>
    </w:p>
    <w:p w14:paraId="67F4F4D5" w14:textId="231D9A62" w:rsidR="001106C5" w:rsidRPr="000C549E" w:rsidRDefault="00D228CD" w:rsidP="005B6952">
      <w:pPr>
        <w:pStyle w:val="Prrafodelista"/>
        <w:numPr>
          <w:ilvl w:val="0"/>
          <w:numId w:val="1"/>
        </w:numPr>
        <w:tabs>
          <w:tab w:val="left" w:pos="567"/>
          <w:tab w:val="left" w:pos="4395"/>
        </w:tabs>
        <w:spacing w:line="360" w:lineRule="auto"/>
        <w:ind w:left="0" w:firstLine="0"/>
        <w:jc w:val="both"/>
        <w:rPr>
          <w:rFonts w:ascii="Arial Nova Light" w:eastAsia="Arial Nova" w:hAnsi="Arial Nova Light" w:cs="Arial"/>
          <w:b/>
          <w:bCs/>
          <w:sz w:val="24"/>
          <w:szCs w:val="24"/>
        </w:rPr>
      </w:pPr>
      <w:r w:rsidRPr="000C549E">
        <w:rPr>
          <w:rFonts w:ascii="Arial Nova Light" w:eastAsia="Arial Nova" w:hAnsi="Arial Nova Light" w:cs="Arial"/>
          <w:b/>
          <w:bCs/>
          <w:sz w:val="24"/>
          <w:szCs w:val="24"/>
        </w:rPr>
        <w:t xml:space="preserve">DETERMINACIÓN </w:t>
      </w:r>
    </w:p>
    <w:p w14:paraId="4AB46B93" w14:textId="0EC5F9ED" w:rsidR="007D0FD8" w:rsidRPr="000C549E" w:rsidRDefault="00FE012C" w:rsidP="005B6952">
      <w:pPr>
        <w:spacing w:after="0" w:line="360" w:lineRule="auto"/>
        <w:contextualSpacing/>
        <w:jc w:val="both"/>
        <w:rPr>
          <w:rFonts w:ascii="Arial Nova Light" w:eastAsia="Arial Nova" w:hAnsi="Arial Nova Light" w:cs="Arial"/>
          <w:b/>
          <w:bCs/>
          <w:sz w:val="24"/>
          <w:szCs w:val="24"/>
        </w:rPr>
      </w:pPr>
      <w:r w:rsidRPr="000C549E">
        <w:rPr>
          <w:rFonts w:ascii="Arial Nova Light" w:eastAsia="Arial Nova" w:hAnsi="Arial Nova Light" w:cs="Arial"/>
          <w:sz w:val="24"/>
          <w:szCs w:val="24"/>
        </w:rPr>
        <w:t xml:space="preserve">Del análisis de la demanda, </w:t>
      </w:r>
      <w:r w:rsidRPr="000C549E">
        <w:rPr>
          <w:rFonts w:ascii="Arial Nova Light" w:eastAsia="Arial Nova" w:hAnsi="Arial Nova Light" w:cs="Arial"/>
          <w:i/>
          <w:iCs/>
          <w:sz w:val="24"/>
          <w:szCs w:val="24"/>
        </w:rPr>
        <w:t>-con independencia de que se actualice alguna otra causa de improcedencia-,</w:t>
      </w:r>
      <w:r w:rsidRPr="000C549E">
        <w:rPr>
          <w:rFonts w:ascii="Arial Nova Light" w:eastAsia="Arial Nova" w:hAnsi="Arial Nova Light" w:cs="Arial"/>
          <w:sz w:val="24"/>
          <w:szCs w:val="24"/>
        </w:rPr>
        <w:t xml:space="preserve"> este Tribunal considera que el escrito del actor debe desecharse de plano</w:t>
      </w:r>
      <w:r w:rsidRPr="000C549E">
        <w:rPr>
          <w:rFonts w:ascii="Arial Nova Light" w:hAnsi="Arial Nova Light" w:cs="Arial"/>
          <w:sz w:val="24"/>
          <w:szCs w:val="24"/>
          <w:vertAlign w:val="superscript"/>
        </w:rPr>
        <w:footnoteReference w:id="17"/>
      </w:r>
      <w:r w:rsidRPr="000C549E">
        <w:rPr>
          <w:rFonts w:ascii="Arial Nova Light" w:eastAsia="Arial Nova" w:hAnsi="Arial Nova Light" w:cs="Arial"/>
          <w:sz w:val="24"/>
          <w:szCs w:val="24"/>
        </w:rPr>
        <w:t>, por actualizars</w:t>
      </w:r>
      <w:r w:rsidR="001B0F58" w:rsidRPr="000C549E">
        <w:rPr>
          <w:rFonts w:ascii="Arial Nova Light" w:eastAsia="Arial Nova" w:hAnsi="Arial Nova Light" w:cs="Arial"/>
          <w:sz w:val="24"/>
          <w:szCs w:val="24"/>
        </w:rPr>
        <w:t xml:space="preserve">e </w:t>
      </w:r>
      <w:r w:rsidR="00D674EF" w:rsidRPr="000C549E">
        <w:rPr>
          <w:rFonts w:ascii="Arial Nova Light" w:eastAsia="Arial Nova" w:hAnsi="Arial Nova Light" w:cs="Arial"/>
          <w:sz w:val="24"/>
          <w:szCs w:val="24"/>
        </w:rPr>
        <w:t xml:space="preserve">la causal de improcedencia contenida en </w:t>
      </w:r>
      <w:r w:rsidR="007D0FD8" w:rsidRPr="000C549E">
        <w:rPr>
          <w:rFonts w:ascii="Arial Nova Light" w:eastAsia="Arial Nova" w:hAnsi="Arial Nova Light" w:cs="Arial"/>
          <w:sz w:val="24"/>
          <w:szCs w:val="24"/>
        </w:rPr>
        <w:t xml:space="preserve">artículo 304, fracción II, inciso a), del Código Electoral. </w:t>
      </w:r>
    </w:p>
    <w:p w14:paraId="2CC5E91D" w14:textId="71DEDBD0" w:rsidR="001A3EA3" w:rsidRPr="000C549E" w:rsidRDefault="001A3EA3" w:rsidP="005B6952">
      <w:pPr>
        <w:spacing w:after="0" w:line="360" w:lineRule="auto"/>
        <w:contextualSpacing/>
        <w:jc w:val="both"/>
        <w:rPr>
          <w:rFonts w:ascii="Arial Nova Light" w:eastAsia="Arial Nova" w:hAnsi="Arial Nova Light" w:cs="Arial"/>
          <w:b/>
          <w:bCs/>
          <w:sz w:val="24"/>
          <w:szCs w:val="24"/>
        </w:rPr>
      </w:pPr>
    </w:p>
    <w:p w14:paraId="39B1ACD4" w14:textId="6C58A205" w:rsidR="00B44840" w:rsidRPr="000C549E" w:rsidRDefault="007E2F45" w:rsidP="005B6952">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w:b/>
          <w:bCs/>
          <w:sz w:val="24"/>
          <w:szCs w:val="24"/>
        </w:rPr>
      </w:pPr>
      <w:r w:rsidRPr="000C549E">
        <w:rPr>
          <w:rFonts w:ascii="Arial Nova Light" w:eastAsia="Arial Nova" w:hAnsi="Arial Nova Light" w:cs="Arial"/>
          <w:b/>
          <w:bCs/>
          <w:sz w:val="24"/>
          <w:szCs w:val="24"/>
        </w:rPr>
        <w:t>Por lo expuesto y fundado se resuelve:</w:t>
      </w:r>
    </w:p>
    <w:p w14:paraId="704024AB" w14:textId="77777777" w:rsidR="00B44840" w:rsidRPr="000C549E" w:rsidRDefault="00B44840" w:rsidP="005B6952">
      <w:pPr>
        <w:spacing w:after="0" w:line="360" w:lineRule="auto"/>
        <w:jc w:val="both"/>
        <w:rPr>
          <w:rFonts w:ascii="Arial Nova Light" w:eastAsia="Arial Nova" w:hAnsi="Arial Nova Light" w:cs="Arial"/>
          <w:sz w:val="24"/>
          <w:szCs w:val="24"/>
        </w:rPr>
      </w:pPr>
    </w:p>
    <w:p w14:paraId="67CBA449" w14:textId="1BA783F1" w:rsidR="00B44840" w:rsidRPr="000C549E" w:rsidRDefault="007E2F45" w:rsidP="005B6952">
      <w:pPr>
        <w:spacing w:after="0" w:line="360" w:lineRule="auto"/>
        <w:jc w:val="both"/>
        <w:rPr>
          <w:rFonts w:ascii="Arial Nova Light" w:eastAsia="Arial Nova" w:hAnsi="Arial Nova Light" w:cs="Arial"/>
          <w:sz w:val="24"/>
          <w:szCs w:val="24"/>
        </w:rPr>
      </w:pPr>
      <w:r w:rsidRPr="000C549E">
        <w:rPr>
          <w:rFonts w:ascii="Arial Nova Light" w:eastAsia="Arial Nova" w:hAnsi="Arial Nova Light" w:cs="Arial"/>
          <w:b/>
          <w:sz w:val="24"/>
          <w:szCs w:val="24"/>
        </w:rPr>
        <w:t>ÚNICO</w:t>
      </w:r>
      <w:r w:rsidRPr="000C549E">
        <w:rPr>
          <w:rFonts w:ascii="Arial Nova Light" w:eastAsia="Arial Nova" w:hAnsi="Arial Nova Light" w:cs="Arial"/>
          <w:sz w:val="24"/>
          <w:szCs w:val="24"/>
        </w:rPr>
        <w:t>. Se desecha de plano la demanda</w:t>
      </w:r>
      <w:r w:rsidR="00671F09" w:rsidRPr="000C549E">
        <w:rPr>
          <w:rFonts w:ascii="Arial Nova Light" w:eastAsia="Arial Nova" w:hAnsi="Arial Nova Light" w:cs="Arial"/>
          <w:sz w:val="24"/>
          <w:szCs w:val="24"/>
        </w:rPr>
        <w:t xml:space="preserve">. </w:t>
      </w:r>
    </w:p>
    <w:p w14:paraId="0A6A8194" w14:textId="77777777" w:rsidR="00B44840" w:rsidRPr="000C549E" w:rsidRDefault="00B44840" w:rsidP="005B6952">
      <w:pPr>
        <w:spacing w:after="0" w:line="360" w:lineRule="auto"/>
        <w:jc w:val="both"/>
        <w:rPr>
          <w:rFonts w:ascii="Arial Nova Light" w:eastAsia="Arial Nova" w:hAnsi="Arial Nova Light" w:cs="Arial"/>
          <w:sz w:val="24"/>
          <w:szCs w:val="24"/>
        </w:rPr>
      </w:pPr>
    </w:p>
    <w:p w14:paraId="32F9C450" w14:textId="77777777" w:rsidR="00B44840" w:rsidRPr="000C549E" w:rsidRDefault="007E2F45" w:rsidP="005B6952">
      <w:pPr>
        <w:pBdr>
          <w:top w:val="nil"/>
          <w:left w:val="nil"/>
          <w:bottom w:val="nil"/>
          <w:right w:val="nil"/>
          <w:between w:val="nil"/>
        </w:pBdr>
        <w:spacing w:after="0" w:line="360" w:lineRule="auto"/>
        <w:jc w:val="both"/>
        <w:rPr>
          <w:rFonts w:ascii="Arial Nova Light" w:eastAsia="Arial Nova" w:hAnsi="Arial Nova Light" w:cs="Arial"/>
          <w:sz w:val="24"/>
          <w:szCs w:val="24"/>
        </w:rPr>
      </w:pPr>
      <w:r w:rsidRPr="000C549E">
        <w:rPr>
          <w:rFonts w:ascii="Arial Nova Light" w:eastAsia="Arial Nova" w:hAnsi="Arial Nova Light" w:cs="Arial"/>
          <w:b/>
          <w:sz w:val="24"/>
          <w:szCs w:val="24"/>
        </w:rPr>
        <w:lastRenderedPageBreak/>
        <w:t xml:space="preserve">NOTIFÍQUESE </w:t>
      </w:r>
      <w:r w:rsidRPr="000C549E">
        <w:rPr>
          <w:rFonts w:ascii="Arial Nova Light" w:eastAsia="Arial Nova" w:hAnsi="Arial Nova Light" w:cs="Arial"/>
          <w:sz w:val="24"/>
          <w:szCs w:val="24"/>
        </w:rPr>
        <w:t xml:space="preserve">como en derecho proceda y en su oportunidad, archívese el presente expediente como asunto concluido. </w:t>
      </w:r>
    </w:p>
    <w:p w14:paraId="32ECF7B9" w14:textId="77777777" w:rsidR="00B44840" w:rsidRPr="000C549E" w:rsidRDefault="00B44840" w:rsidP="005B6952">
      <w:pPr>
        <w:pBdr>
          <w:top w:val="nil"/>
          <w:left w:val="nil"/>
          <w:bottom w:val="nil"/>
          <w:right w:val="nil"/>
          <w:between w:val="nil"/>
        </w:pBdr>
        <w:spacing w:after="0" w:line="360" w:lineRule="auto"/>
        <w:jc w:val="both"/>
        <w:rPr>
          <w:rFonts w:ascii="Arial Nova Light" w:eastAsia="Arial Nova" w:hAnsi="Arial Nova Light" w:cs="Arial"/>
          <w:sz w:val="24"/>
          <w:szCs w:val="24"/>
        </w:rPr>
      </w:pPr>
    </w:p>
    <w:p w14:paraId="31EDC33D" w14:textId="686263CA" w:rsidR="00B44840" w:rsidRPr="000C549E" w:rsidRDefault="007E2F45" w:rsidP="005B6952">
      <w:pPr>
        <w:pBdr>
          <w:top w:val="nil"/>
          <w:left w:val="nil"/>
          <w:bottom w:val="nil"/>
          <w:right w:val="nil"/>
          <w:between w:val="nil"/>
        </w:pBdr>
        <w:spacing w:after="0" w:line="360" w:lineRule="auto"/>
        <w:jc w:val="both"/>
        <w:rPr>
          <w:rFonts w:ascii="Arial Nova Light" w:eastAsia="Arial Nova" w:hAnsi="Arial Nova Light" w:cs="Arial"/>
          <w:sz w:val="24"/>
          <w:szCs w:val="24"/>
        </w:rPr>
      </w:pPr>
      <w:r w:rsidRPr="000C549E">
        <w:rPr>
          <w:rFonts w:ascii="Arial Nova Light" w:eastAsia="Arial Nova" w:hAnsi="Arial Nova Light" w:cs="Arial"/>
          <w:sz w:val="24"/>
          <w:szCs w:val="24"/>
        </w:rPr>
        <w:t xml:space="preserve">Así lo resolvió el Tribunal Electoral del Estado de Aguascalientes, por </w:t>
      </w:r>
      <w:r w:rsidR="00F60E0B">
        <w:rPr>
          <w:rFonts w:ascii="Arial Nova Light" w:eastAsia="Arial Nova" w:hAnsi="Arial Nova Light" w:cs="Arial"/>
          <w:sz w:val="24"/>
          <w:szCs w:val="24"/>
        </w:rPr>
        <w:t>unanimidad</w:t>
      </w:r>
      <w:r w:rsidRPr="000C549E">
        <w:rPr>
          <w:rFonts w:ascii="Arial Nova Light" w:eastAsia="Arial Nova" w:hAnsi="Arial Nova Light" w:cs="Arial"/>
          <w:sz w:val="24"/>
          <w:szCs w:val="24"/>
        </w:rPr>
        <w:t xml:space="preserve"> de votos de la Magistrada y Magistrados que lo integran, ante el Secretario General de Acuerdos, quien autoriza y da fe.  </w:t>
      </w:r>
    </w:p>
    <w:p w14:paraId="0967B635" w14:textId="77777777" w:rsidR="00B44840" w:rsidRPr="000C549E" w:rsidRDefault="00B44840" w:rsidP="005B6952">
      <w:pPr>
        <w:pBdr>
          <w:top w:val="nil"/>
          <w:left w:val="nil"/>
          <w:bottom w:val="nil"/>
          <w:right w:val="nil"/>
          <w:between w:val="nil"/>
        </w:pBdr>
        <w:spacing w:after="0" w:line="360" w:lineRule="auto"/>
        <w:jc w:val="both"/>
        <w:rPr>
          <w:rFonts w:ascii="Arial Nova Light" w:eastAsia="Arial Nova" w:hAnsi="Arial Nova Light" w:cs="Arial"/>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6E7F3D" w:rsidRPr="00222482" w14:paraId="4D360B6E" w14:textId="77777777" w:rsidTr="00CD4D2C">
        <w:trPr>
          <w:trHeight w:val="2136"/>
        </w:trPr>
        <w:tc>
          <w:tcPr>
            <w:tcW w:w="9118" w:type="dxa"/>
            <w:gridSpan w:val="2"/>
          </w:tcPr>
          <w:p w14:paraId="6D88417A" w14:textId="753EFD1E"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4" w:name="_Hlk68778058"/>
            <w:r w:rsidRPr="00222482">
              <w:rPr>
                <w:rFonts w:ascii="Arial Nova Light" w:eastAsia="Arial Nova" w:hAnsi="Arial Nova Light" w:cs="Arial Nova"/>
                <w:b/>
                <w:sz w:val="24"/>
                <w:szCs w:val="24"/>
              </w:rPr>
              <w:t>MAGISTRADA PRESIDENTA</w:t>
            </w:r>
          </w:p>
          <w:p w14:paraId="1F44E36D"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0D59B0D"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DA9FC05"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6E7F3D" w:rsidRPr="00222482" w14:paraId="745A5BCC" w14:textId="77777777" w:rsidTr="00CD4D2C">
        <w:tc>
          <w:tcPr>
            <w:tcW w:w="4558" w:type="dxa"/>
          </w:tcPr>
          <w:p w14:paraId="2D615CF8" w14:textId="77777777" w:rsidR="006E7F3D"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B38600D" w14:textId="69AF6D0D"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0CC990EB"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BC931B5"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6084B848"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5E9E7F97" w14:textId="09F7748D" w:rsidR="006E7F3D"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191B11B"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4D4405D7"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5A0E951"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4923900F"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6E7F3D" w:rsidRPr="00222482" w14:paraId="2C500369" w14:textId="77777777" w:rsidTr="00CD4D2C">
        <w:tc>
          <w:tcPr>
            <w:tcW w:w="9118" w:type="dxa"/>
            <w:gridSpan w:val="2"/>
          </w:tcPr>
          <w:p w14:paraId="4980A4D5" w14:textId="70C25122" w:rsidR="006E7F3D"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74065CE"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C8E754A"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70366F79"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35F5BC1" w14:textId="77777777" w:rsidR="006E7F3D" w:rsidRPr="00222482" w:rsidRDefault="006E7F3D"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SUCEDO</w:t>
            </w:r>
          </w:p>
        </w:tc>
      </w:tr>
      <w:bookmarkEnd w:id="4"/>
    </w:tbl>
    <w:p w14:paraId="6E34BDEF" w14:textId="77777777" w:rsidR="00B44840" w:rsidRPr="000C549E" w:rsidRDefault="00B44840" w:rsidP="005B6952">
      <w:pPr>
        <w:spacing w:after="160" w:line="360" w:lineRule="auto"/>
        <w:jc w:val="both"/>
        <w:rPr>
          <w:rFonts w:ascii="Arial Nova Light" w:eastAsia="Arial Nova" w:hAnsi="Arial Nova Light" w:cs="Arial"/>
          <w:sz w:val="24"/>
          <w:szCs w:val="24"/>
        </w:rPr>
      </w:pPr>
    </w:p>
    <w:sectPr w:rsidR="00B44840" w:rsidRPr="000C549E" w:rsidSect="001A3EA3">
      <w:headerReference w:type="even" r:id="rId8"/>
      <w:headerReference w:type="default" r:id="rId9"/>
      <w:footerReference w:type="even" r:id="rId10"/>
      <w:footerReference w:type="default" r:id="rId11"/>
      <w:headerReference w:type="first" r:id="rId12"/>
      <w:footerReference w:type="first" r:id="rId13"/>
      <w:pgSz w:w="12240" w:h="20160"/>
      <w:pgMar w:top="2268" w:right="1325" w:bottom="993"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E35A4" w14:textId="77777777" w:rsidR="00A82493" w:rsidRDefault="00A82493">
      <w:pPr>
        <w:spacing w:after="0" w:line="240" w:lineRule="auto"/>
      </w:pPr>
      <w:r>
        <w:separator/>
      </w:r>
    </w:p>
  </w:endnote>
  <w:endnote w:type="continuationSeparator" w:id="0">
    <w:p w14:paraId="71180640" w14:textId="77777777" w:rsidR="00A82493" w:rsidRDefault="00A8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altName w:val="Arial"/>
    <w:charset w:val="00"/>
    <w:family w:val="swiss"/>
    <w:pitch w:val="variable"/>
    <w:sig w:usb0="00000001" w:usb1="00000002" w:usb2="00000000" w:usb3="00000000" w:csb0="0000019F" w:csb1="00000000"/>
  </w:font>
  <w:font w:name="Arial Nova">
    <w:altName w:val="Arial"/>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535F" w14:textId="77777777" w:rsidR="00096A39" w:rsidRDefault="00096A3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043D" w14:textId="77777777" w:rsidR="00096A39" w:rsidRDefault="00096A3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FC93" w14:textId="77777777" w:rsidR="00096A39" w:rsidRDefault="00096A3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DC652" w14:textId="77777777" w:rsidR="00A82493" w:rsidRDefault="00A82493">
      <w:pPr>
        <w:spacing w:after="0" w:line="240" w:lineRule="auto"/>
      </w:pPr>
      <w:r>
        <w:separator/>
      </w:r>
    </w:p>
  </w:footnote>
  <w:footnote w:type="continuationSeparator" w:id="0">
    <w:p w14:paraId="686DCD41" w14:textId="77777777" w:rsidR="00A82493" w:rsidRDefault="00A82493">
      <w:pPr>
        <w:spacing w:after="0" w:line="240" w:lineRule="auto"/>
      </w:pPr>
      <w:r>
        <w:continuationSeparator/>
      </w:r>
    </w:p>
  </w:footnote>
  <w:footnote w:id="1">
    <w:p w14:paraId="285489E1" w14:textId="77777777" w:rsidR="00096A39" w:rsidRPr="00531078" w:rsidRDefault="00096A39" w:rsidP="00A25A0D">
      <w:pPr>
        <w:pBdr>
          <w:top w:val="nil"/>
          <w:left w:val="nil"/>
          <w:bottom w:val="nil"/>
          <w:right w:val="nil"/>
          <w:between w:val="nil"/>
        </w:pBdr>
        <w:spacing w:after="0" w:line="240" w:lineRule="auto"/>
        <w:jc w:val="both"/>
        <w:rPr>
          <w:rFonts w:ascii="Arial Nova Light" w:eastAsia="Arial Nova" w:hAnsi="Arial Nova Light" w:cs="Arial"/>
          <w:b/>
          <w:color w:val="000000"/>
          <w:sz w:val="16"/>
          <w:szCs w:val="16"/>
        </w:rPr>
      </w:pPr>
      <w:r w:rsidRPr="00531078">
        <w:rPr>
          <w:rFonts w:ascii="Arial Nova Light" w:hAnsi="Arial Nova Light" w:cs="Arial"/>
          <w:sz w:val="16"/>
          <w:szCs w:val="16"/>
          <w:vertAlign w:val="superscript"/>
        </w:rPr>
        <w:footnoteRef/>
      </w:r>
      <w:r w:rsidRPr="00531078">
        <w:rPr>
          <w:rFonts w:ascii="Arial Nova Light" w:eastAsia="Arial Nova" w:hAnsi="Arial Nova Light" w:cs="Arial"/>
          <w:color w:val="000000"/>
          <w:sz w:val="16"/>
          <w:szCs w:val="16"/>
        </w:rPr>
        <w:t xml:space="preserve"> Criterio contenido en la Jurisprudencia 4/99, de rubro: </w:t>
      </w:r>
      <w:r w:rsidRPr="00531078">
        <w:rPr>
          <w:rFonts w:ascii="Arial Nova Light" w:eastAsia="Arial Nova" w:hAnsi="Arial Nova Light" w:cs="Arial"/>
          <w:b/>
          <w:color w:val="000000"/>
          <w:sz w:val="16"/>
          <w:szCs w:val="16"/>
        </w:rPr>
        <w:t>MEDIOS DE IMPUGNACIÓN EN MATERIA ELECTORAL. EL RESOLUTOR DEBE INTERPRETAR EL OCURSO QUE LOS CONTENGA PARA DETERMINAR LA VERDADERA INTENCIÓN DEL ACTOR.</w:t>
      </w:r>
    </w:p>
  </w:footnote>
  <w:footnote w:id="2">
    <w:p w14:paraId="577F9FA8" w14:textId="77777777" w:rsidR="0021055F" w:rsidRPr="003E5C91" w:rsidRDefault="0021055F" w:rsidP="00A25A0D">
      <w:pPr>
        <w:pStyle w:val="Textonotapie"/>
        <w:jc w:val="both"/>
        <w:rPr>
          <w:rFonts w:ascii="Arial Nova Light" w:hAnsi="Arial Nova Light" w:cs="Arial"/>
          <w:sz w:val="16"/>
          <w:szCs w:val="16"/>
        </w:rPr>
      </w:pPr>
      <w:r w:rsidRPr="00531078">
        <w:rPr>
          <w:rStyle w:val="Refdenotaalpie"/>
          <w:rFonts w:ascii="Arial Nova Light" w:hAnsi="Arial Nova Light" w:cs="Arial"/>
          <w:sz w:val="16"/>
          <w:szCs w:val="16"/>
        </w:rPr>
        <w:footnoteRef/>
      </w:r>
      <w:r w:rsidRPr="00531078">
        <w:rPr>
          <w:rFonts w:ascii="Arial Nova Light" w:hAnsi="Arial Nova Light" w:cs="Arial"/>
          <w:sz w:val="16"/>
          <w:szCs w:val="16"/>
        </w:rPr>
        <w:t xml:space="preserve"> ARTÍCULO 304.- Los recursos que regula este Código, se considerarán improcedentes en los siguientes casos: II. Cuando se pretenda </w:t>
      </w:r>
      <w:r w:rsidRPr="003E5C91">
        <w:rPr>
          <w:rFonts w:ascii="Arial Nova Light" w:hAnsi="Arial Nova Light" w:cs="Arial"/>
          <w:sz w:val="16"/>
          <w:szCs w:val="16"/>
        </w:rPr>
        <w:t xml:space="preserve">impugnar actos o resoluciones: a) Que no afecten el interés jurídico del actor. </w:t>
      </w:r>
    </w:p>
  </w:footnote>
  <w:footnote w:id="3">
    <w:p w14:paraId="74CF3C8B" w14:textId="1716B527" w:rsidR="003E5C91" w:rsidRDefault="003E5C91">
      <w:pPr>
        <w:pStyle w:val="Textonotapie"/>
      </w:pPr>
      <w:r w:rsidRPr="003E5C91">
        <w:rPr>
          <w:rStyle w:val="Refdenotaalpie"/>
          <w:rFonts w:ascii="Arial Nova Light" w:hAnsi="Arial Nova Light"/>
          <w:sz w:val="16"/>
          <w:szCs w:val="16"/>
        </w:rPr>
        <w:footnoteRef/>
      </w:r>
      <w:r w:rsidRPr="003E5C91">
        <w:rPr>
          <w:rFonts w:ascii="Arial Nova Light" w:hAnsi="Arial Nova Light"/>
          <w:sz w:val="16"/>
          <w:szCs w:val="16"/>
        </w:rPr>
        <w:t xml:space="preserve"> Prevista también en el artículo 10, párrafo 1, inciso b), en relación con el artículo 9º, párrafo 3 de la Ley </w:t>
      </w:r>
      <w:r>
        <w:rPr>
          <w:rFonts w:ascii="Arial Nova Light" w:hAnsi="Arial Nova Light"/>
          <w:sz w:val="16"/>
          <w:szCs w:val="16"/>
        </w:rPr>
        <w:t xml:space="preserve">General de Medios de Impugnación en Materia Electoral. </w:t>
      </w:r>
    </w:p>
  </w:footnote>
  <w:footnote w:id="4">
    <w:p w14:paraId="24826D0B" w14:textId="54A9D455" w:rsidR="00612A61" w:rsidRPr="00531078" w:rsidRDefault="00612A61" w:rsidP="00A25A0D">
      <w:pPr>
        <w:pStyle w:val="Textonotapie"/>
        <w:jc w:val="both"/>
        <w:rPr>
          <w:rFonts w:ascii="Arial Nova Light" w:hAnsi="Arial Nova Light"/>
          <w:sz w:val="16"/>
          <w:szCs w:val="16"/>
        </w:rPr>
      </w:pPr>
      <w:r w:rsidRPr="00531078">
        <w:rPr>
          <w:rStyle w:val="Refdenotaalpie"/>
          <w:rFonts w:ascii="Arial Nova Light" w:hAnsi="Arial Nova Light"/>
          <w:sz w:val="16"/>
          <w:szCs w:val="16"/>
        </w:rPr>
        <w:footnoteRef/>
      </w:r>
      <w:r w:rsidRPr="00531078">
        <w:rPr>
          <w:rFonts w:ascii="Arial Nova Light" w:hAnsi="Arial Nova Light"/>
          <w:sz w:val="16"/>
          <w:szCs w:val="16"/>
        </w:rPr>
        <w:t xml:space="preserve"> SUP-JDC-198/2018</w:t>
      </w:r>
    </w:p>
  </w:footnote>
  <w:footnote w:id="5">
    <w:p w14:paraId="0362D105" w14:textId="5C7618F8" w:rsidR="00B2436A" w:rsidRPr="00531078" w:rsidRDefault="00B2436A" w:rsidP="00A25A0D">
      <w:pPr>
        <w:pStyle w:val="Textonotapie"/>
        <w:jc w:val="both"/>
        <w:rPr>
          <w:rFonts w:ascii="Arial Nova Light" w:hAnsi="Arial Nova Light" w:cs="Arial"/>
          <w:sz w:val="16"/>
          <w:szCs w:val="16"/>
        </w:rPr>
      </w:pPr>
      <w:r w:rsidRPr="00531078">
        <w:rPr>
          <w:rStyle w:val="Refdenotaalpie"/>
          <w:rFonts w:ascii="Arial Nova Light" w:hAnsi="Arial Nova Light" w:cs="Arial"/>
          <w:sz w:val="16"/>
          <w:szCs w:val="16"/>
        </w:rPr>
        <w:footnoteRef/>
      </w:r>
      <w:r w:rsidRPr="00531078">
        <w:rPr>
          <w:rFonts w:ascii="Arial Nova Light" w:hAnsi="Arial Nova Light" w:cs="Arial"/>
          <w:sz w:val="16"/>
          <w:szCs w:val="16"/>
        </w:rPr>
        <w:t xml:space="preserve"> Criterio sostenido en la sentencia SUP-JDC-0236/2018. </w:t>
      </w:r>
    </w:p>
  </w:footnote>
  <w:footnote w:id="6">
    <w:p w14:paraId="0FD23F21" w14:textId="48B64259" w:rsidR="00EF5068" w:rsidRPr="00531078" w:rsidRDefault="00EF5068" w:rsidP="00A25A0D">
      <w:pPr>
        <w:pStyle w:val="Textonotapie"/>
        <w:jc w:val="both"/>
        <w:rPr>
          <w:rFonts w:ascii="Arial Nova Light" w:hAnsi="Arial Nova Light" w:cs="Arial"/>
          <w:sz w:val="16"/>
          <w:szCs w:val="16"/>
        </w:rPr>
      </w:pPr>
      <w:r w:rsidRPr="00531078">
        <w:rPr>
          <w:rStyle w:val="Refdenotaalpie"/>
          <w:rFonts w:ascii="Arial Nova Light" w:hAnsi="Arial Nova Light" w:cs="Arial"/>
          <w:sz w:val="16"/>
          <w:szCs w:val="16"/>
        </w:rPr>
        <w:footnoteRef/>
      </w:r>
      <w:r w:rsidRPr="00531078">
        <w:rPr>
          <w:rFonts w:ascii="Arial Nova Light" w:hAnsi="Arial Nova Light" w:cs="Arial"/>
          <w:sz w:val="16"/>
          <w:szCs w:val="16"/>
        </w:rPr>
        <w:t xml:space="preserve"> </w:t>
      </w:r>
      <w:r w:rsidR="00ED2353" w:rsidRPr="00531078">
        <w:rPr>
          <w:rFonts w:ascii="Arial Nova Light" w:hAnsi="Arial Nova Light" w:cs="Arial"/>
          <w:sz w:val="16"/>
          <w:szCs w:val="16"/>
        </w:rPr>
        <w:t xml:space="preserve">Jurisprudencia consultable en la URL: </w:t>
      </w:r>
      <w:hyperlink r:id="rId1" w:history="1">
        <w:r w:rsidR="002A456D" w:rsidRPr="00531078">
          <w:rPr>
            <w:rStyle w:val="Hipervnculo"/>
            <w:rFonts w:ascii="Arial Nova Light" w:hAnsi="Arial Nova Light" w:cs="Arial"/>
            <w:sz w:val="16"/>
            <w:szCs w:val="16"/>
          </w:rPr>
          <w:t>https://mexico.justia.com/federales/jurisprudencias-tesis/tribunal-electoral/jurisprudencia-7-2002/</w:t>
        </w:r>
      </w:hyperlink>
      <w:r w:rsidR="002A456D" w:rsidRPr="00531078">
        <w:rPr>
          <w:rFonts w:ascii="Arial Nova Light" w:hAnsi="Arial Nova Light" w:cs="Arial"/>
          <w:sz w:val="16"/>
          <w:szCs w:val="16"/>
        </w:rPr>
        <w:t xml:space="preserve"> </w:t>
      </w:r>
    </w:p>
  </w:footnote>
  <w:footnote w:id="7">
    <w:p w14:paraId="2A2C3553" w14:textId="4C3E95D6" w:rsidR="0023590F" w:rsidRPr="00531078" w:rsidRDefault="0023590F" w:rsidP="00A25A0D">
      <w:pPr>
        <w:pStyle w:val="Textonotapie"/>
        <w:jc w:val="both"/>
        <w:rPr>
          <w:rFonts w:ascii="Arial Nova Light" w:hAnsi="Arial Nova Light"/>
          <w:sz w:val="16"/>
          <w:szCs w:val="16"/>
        </w:rPr>
      </w:pPr>
      <w:r w:rsidRPr="00531078">
        <w:rPr>
          <w:rStyle w:val="Refdenotaalpie"/>
          <w:rFonts w:ascii="Arial Nova Light" w:hAnsi="Arial Nova Light"/>
          <w:sz w:val="16"/>
          <w:szCs w:val="16"/>
        </w:rPr>
        <w:footnoteRef/>
      </w:r>
      <w:r w:rsidRPr="00531078">
        <w:rPr>
          <w:rFonts w:ascii="Arial Nova Light" w:hAnsi="Arial Nova Light"/>
          <w:sz w:val="16"/>
          <w:szCs w:val="16"/>
        </w:rPr>
        <w:t xml:space="preserve"> Ley General de Medios de Impugnación en Materia Electoral. </w:t>
      </w:r>
    </w:p>
  </w:footnote>
  <w:footnote w:id="8">
    <w:p w14:paraId="70395C76" w14:textId="314877A5" w:rsidR="00036BD4" w:rsidRPr="00531078" w:rsidRDefault="00036BD4" w:rsidP="00A25A0D">
      <w:pPr>
        <w:pStyle w:val="Textonotapie"/>
        <w:jc w:val="both"/>
        <w:rPr>
          <w:rFonts w:ascii="Arial Nova Light" w:hAnsi="Arial Nova Light"/>
          <w:sz w:val="16"/>
          <w:szCs w:val="16"/>
        </w:rPr>
      </w:pPr>
      <w:r w:rsidRPr="00531078">
        <w:rPr>
          <w:rStyle w:val="Refdenotaalpie"/>
          <w:rFonts w:ascii="Arial Nova Light" w:hAnsi="Arial Nova Light"/>
          <w:sz w:val="16"/>
          <w:szCs w:val="16"/>
        </w:rPr>
        <w:footnoteRef/>
      </w:r>
      <w:r w:rsidRPr="00531078">
        <w:rPr>
          <w:rFonts w:ascii="Arial Nova Light" w:hAnsi="Arial Nova Light"/>
          <w:sz w:val="16"/>
          <w:szCs w:val="16"/>
        </w:rPr>
        <w:t xml:space="preserve"> https://www.te.gob.mx/EE/SUP/2021/REC/103/SUP_2021_REC_103-964218.pdf</w:t>
      </w:r>
    </w:p>
  </w:footnote>
  <w:footnote w:id="9">
    <w:p w14:paraId="34E2BCA2" w14:textId="120F0C3B" w:rsidR="00EE3646" w:rsidRPr="00531078" w:rsidRDefault="00EE3646" w:rsidP="00A25A0D">
      <w:pPr>
        <w:pStyle w:val="Textonotapie"/>
        <w:jc w:val="both"/>
        <w:rPr>
          <w:rFonts w:ascii="Arial Nova Light" w:hAnsi="Arial Nova Light" w:cs="Arial"/>
          <w:sz w:val="16"/>
          <w:szCs w:val="16"/>
        </w:rPr>
      </w:pPr>
      <w:r w:rsidRPr="00531078">
        <w:rPr>
          <w:rStyle w:val="Refdenotaalpie"/>
          <w:rFonts w:ascii="Arial Nova Light" w:hAnsi="Arial Nova Light" w:cs="Arial"/>
          <w:sz w:val="16"/>
          <w:szCs w:val="16"/>
        </w:rPr>
        <w:footnoteRef/>
      </w:r>
      <w:r w:rsidRPr="00531078">
        <w:rPr>
          <w:rFonts w:ascii="Arial Nova Light" w:hAnsi="Arial Nova Light" w:cs="Arial"/>
          <w:sz w:val="16"/>
          <w:szCs w:val="16"/>
        </w:rPr>
        <w:t xml:space="preserve"> </w:t>
      </w:r>
      <w:r w:rsidRPr="00531078">
        <w:rPr>
          <w:rFonts w:ascii="Arial Nova Light" w:hAnsi="Arial Nova Light" w:cs="Arial"/>
          <w:color w:val="000000"/>
          <w:sz w:val="16"/>
          <w:szCs w:val="16"/>
        </w:rPr>
        <w:t>Tesis: 1a./J. 38/2016 (10a.); Página: 690: “</w:t>
      </w:r>
      <w:r w:rsidRPr="00531078">
        <w:rPr>
          <w:rFonts w:ascii="Arial Nova Light" w:hAnsi="Arial Nova Light" w:cs="Arial"/>
          <w:b/>
          <w:bCs/>
          <w:i/>
          <w:iCs/>
          <w:color w:val="000000"/>
          <w:sz w:val="16"/>
          <w:szCs w:val="16"/>
        </w:rPr>
        <w:t>INTERÉS LEGÍTIMO EN EL AMPARO. SU DIFERENCIA CON EL INTERÉS SIMPLE. </w:t>
      </w:r>
    </w:p>
  </w:footnote>
  <w:footnote w:id="10">
    <w:p w14:paraId="4004F66A" w14:textId="4690CBBE" w:rsidR="00F82F3F" w:rsidRPr="00531078" w:rsidRDefault="00F82F3F" w:rsidP="00A25A0D">
      <w:pPr>
        <w:pStyle w:val="Textonotapie"/>
        <w:jc w:val="both"/>
        <w:rPr>
          <w:rFonts w:ascii="Arial Nova Light" w:hAnsi="Arial Nova Light" w:cs="Arial"/>
          <w:sz w:val="16"/>
          <w:szCs w:val="16"/>
        </w:rPr>
      </w:pPr>
      <w:r w:rsidRPr="00531078">
        <w:rPr>
          <w:rStyle w:val="Refdenotaalpie"/>
          <w:rFonts w:ascii="Arial Nova Light" w:hAnsi="Arial Nova Light" w:cs="Arial"/>
          <w:sz w:val="16"/>
          <w:szCs w:val="16"/>
        </w:rPr>
        <w:footnoteRef/>
      </w:r>
      <w:r w:rsidRPr="00531078">
        <w:rPr>
          <w:rFonts w:ascii="Arial Nova Light" w:hAnsi="Arial Nova Light" w:cs="Arial"/>
          <w:sz w:val="16"/>
          <w:szCs w:val="16"/>
        </w:rPr>
        <w:t xml:space="preserve"> Definición aportada por la Sala Superior en el expediente </w:t>
      </w:r>
      <w:r w:rsidR="00EE3646" w:rsidRPr="00531078">
        <w:rPr>
          <w:rFonts w:ascii="Arial Nova Light" w:hAnsi="Arial Nova Light" w:cs="Arial"/>
          <w:sz w:val="16"/>
          <w:szCs w:val="16"/>
        </w:rPr>
        <w:t xml:space="preserve">consultable en la URL: </w:t>
      </w:r>
      <w:hyperlink r:id="rId2" w:history="1">
        <w:r w:rsidR="00EE3646" w:rsidRPr="00531078">
          <w:rPr>
            <w:rStyle w:val="Hipervnculo"/>
            <w:rFonts w:ascii="Arial Nova Light" w:hAnsi="Arial Nova Light" w:cs="Arial"/>
            <w:sz w:val="16"/>
            <w:szCs w:val="16"/>
          </w:rPr>
          <w:t>https://www.te.gob.mx/colecciones/sentencias/html/SUP/2018/JDC/SUP-JDC-00236-2018.htm</w:t>
        </w:r>
      </w:hyperlink>
      <w:r w:rsidR="00EE3646" w:rsidRPr="00531078">
        <w:rPr>
          <w:rFonts w:ascii="Arial Nova Light" w:hAnsi="Arial Nova Light" w:cs="Arial"/>
          <w:sz w:val="16"/>
          <w:szCs w:val="16"/>
        </w:rPr>
        <w:t xml:space="preserve"> </w:t>
      </w:r>
    </w:p>
  </w:footnote>
  <w:footnote w:id="11">
    <w:p w14:paraId="4D28D08D" w14:textId="5CD9B7EF" w:rsidR="0023590F" w:rsidRPr="00531078" w:rsidRDefault="0023590F" w:rsidP="00A25A0D">
      <w:pPr>
        <w:pStyle w:val="Textonotapie"/>
        <w:jc w:val="both"/>
        <w:rPr>
          <w:rFonts w:ascii="Arial Nova Light" w:hAnsi="Arial Nova Light"/>
          <w:sz w:val="16"/>
          <w:szCs w:val="16"/>
        </w:rPr>
      </w:pPr>
      <w:r w:rsidRPr="00531078">
        <w:rPr>
          <w:rStyle w:val="Refdenotaalpie"/>
          <w:rFonts w:ascii="Arial Nova Light" w:hAnsi="Arial Nova Light"/>
          <w:sz w:val="16"/>
          <w:szCs w:val="16"/>
        </w:rPr>
        <w:footnoteRef/>
      </w:r>
      <w:r w:rsidRPr="00531078">
        <w:rPr>
          <w:rFonts w:ascii="Arial Nova Light" w:hAnsi="Arial Nova Light"/>
          <w:sz w:val="16"/>
          <w:szCs w:val="16"/>
        </w:rPr>
        <w:t xml:space="preserve"> SUP-REC-103/2021</w:t>
      </w:r>
    </w:p>
  </w:footnote>
  <w:footnote w:id="12">
    <w:p w14:paraId="1A0CA073" w14:textId="1801B7E0" w:rsidR="00302953" w:rsidRPr="00531078" w:rsidRDefault="00302953" w:rsidP="00A25A0D">
      <w:pPr>
        <w:pStyle w:val="Textonotapie"/>
        <w:jc w:val="both"/>
        <w:rPr>
          <w:rFonts w:ascii="Arial Nova Light" w:hAnsi="Arial Nova Light" w:cs="Arial"/>
          <w:color w:val="000000"/>
          <w:sz w:val="16"/>
          <w:szCs w:val="16"/>
        </w:rPr>
      </w:pPr>
      <w:r w:rsidRPr="00531078">
        <w:rPr>
          <w:rStyle w:val="Refdenotaalpie"/>
          <w:rFonts w:ascii="Arial Nova Light" w:hAnsi="Arial Nova Light"/>
          <w:sz w:val="16"/>
          <w:szCs w:val="16"/>
        </w:rPr>
        <w:footnoteRef/>
      </w:r>
      <w:r w:rsidRPr="00531078">
        <w:rPr>
          <w:rFonts w:ascii="Arial Nova Light" w:hAnsi="Arial Nova Light"/>
          <w:sz w:val="16"/>
          <w:szCs w:val="16"/>
        </w:rPr>
        <w:t xml:space="preserve"> </w:t>
      </w:r>
      <w:r w:rsidRPr="00531078">
        <w:rPr>
          <w:rFonts w:ascii="Arial Nova Light" w:hAnsi="Arial Nova Light" w:cs="Arial"/>
          <w:color w:val="000000"/>
          <w:sz w:val="16"/>
          <w:szCs w:val="16"/>
        </w:rPr>
        <w:t>Décima Época; Primera Sala ; Jurisprudencia; Gaceta del Semanario Judicial de la Federación; Libro 33, Agosto de 2016, Tomo II ; Tesis: 1a./J. 38/2016 (10a.); Página: 690</w:t>
      </w:r>
    </w:p>
    <w:p w14:paraId="14F7CD31" w14:textId="018788DA" w:rsidR="00302953" w:rsidRPr="00531078" w:rsidRDefault="00302953" w:rsidP="00A25A0D">
      <w:pPr>
        <w:pStyle w:val="Textonotapie"/>
        <w:jc w:val="both"/>
        <w:rPr>
          <w:rFonts w:ascii="Arial Nova Light" w:hAnsi="Arial Nova Light" w:cs="Arial"/>
          <w:color w:val="000000"/>
          <w:sz w:val="16"/>
          <w:szCs w:val="16"/>
        </w:rPr>
      </w:pPr>
    </w:p>
    <w:p w14:paraId="4799C193" w14:textId="72124A2A" w:rsidR="00302953" w:rsidRPr="00531078" w:rsidRDefault="00302953" w:rsidP="00A25A0D">
      <w:pPr>
        <w:pStyle w:val="Textonotapie"/>
        <w:jc w:val="both"/>
        <w:rPr>
          <w:rFonts w:ascii="Arial Nova Light" w:hAnsi="Arial Nova Light"/>
          <w:sz w:val="16"/>
          <w:szCs w:val="16"/>
        </w:rPr>
      </w:pPr>
      <w:r w:rsidRPr="00531078">
        <w:rPr>
          <w:rFonts w:ascii="Arial Nova Light" w:hAnsi="Arial Nova Light" w:cs="Arial"/>
          <w:color w:val="000000"/>
          <w:sz w:val="16"/>
          <w:szCs w:val="16"/>
        </w:rPr>
        <w:br/>
        <w:t>INTERÉS LEGÍTIMO EN EL AMPARO. SU DIFERENCIA CON EL INTERÉS SIMPLE. La reforma al artículo 107 constitucional, publicada en el Diario Oficial de la Federación el 6 de junio de 2011, además de que sustituyó el concepto de interés jurídico por el de interés legítimo, abrió las posibilidades para acudir al juicio de amparo. No obstante lo anterior, dicha reforma no puede traducirse en una apertura absoluta para que por cualquier motivo se acuda al juicio de amparo, ya que el Constituyente Permanente introdujo un concepto jurídico mediante el cual se exige al quejoso que demuestre algo más que un interés simple o jurídicamente irrelevante, entendido éste como el que puede tener cualquier persona por alguna acción u omisión del Estado pero que, en caso de satisfacerse, no se traducirá en un beneficio personal para el interesado, pues no supone afectación a su esfera jurídica en algún sentido. En cambio, el interés legítimo se define como aquel interés personal, individual o colectivo, cualificado, actual, real y jurídicamente relevante, que puede traducirse, en caso de concederse el amparo, en un beneficio jurídico en favor del quejoso derivado de una afectación a su esfera jurídica en sentido amplio, que puede ser de índole económica, profesional, de salud pública, o de cualquier otra. Consecuentemente, cuando el quejoso acredita únicamente el interés simple, mas no el legítimo, se actualiza la causal de improcedencia prevista en el artículo 73, fracción XVIII, de la Ley de Amparo, en relación con el numeral 107, fracción I, de la Constitución Política de los Estados Unidos Mexicanos.</w:t>
      </w:r>
    </w:p>
  </w:footnote>
  <w:footnote w:id="13">
    <w:p w14:paraId="39AE4749" w14:textId="77777777" w:rsidR="0060364E" w:rsidRPr="00531078" w:rsidRDefault="0060364E" w:rsidP="0060364E">
      <w:pPr>
        <w:pStyle w:val="Textonotapie"/>
        <w:jc w:val="both"/>
        <w:rPr>
          <w:rFonts w:ascii="Arial Nova Light" w:hAnsi="Arial Nova Light" w:cs="Arial"/>
          <w:sz w:val="16"/>
          <w:szCs w:val="16"/>
        </w:rPr>
      </w:pPr>
      <w:r w:rsidRPr="00531078">
        <w:rPr>
          <w:rStyle w:val="Refdenotaalpie"/>
          <w:rFonts w:ascii="Arial Nova Light" w:hAnsi="Arial Nova Light" w:cs="Arial"/>
          <w:sz w:val="16"/>
          <w:szCs w:val="16"/>
        </w:rPr>
        <w:footnoteRef/>
      </w:r>
      <w:r w:rsidRPr="00531078">
        <w:rPr>
          <w:rFonts w:ascii="Arial Nova Light" w:hAnsi="Arial Nova Light" w:cs="Arial"/>
          <w:sz w:val="16"/>
          <w:szCs w:val="16"/>
        </w:rPr>
        <w:t xml:space="preserve"> </w:t>
      </w:r>
      <w:r w:rsidRPr="00531078">
        <w:rPr>
          <w:rFonts w:ascii="Arial Nova Light" w:hAnsi="Arial Nova Light" w:cs="Arial"/>
          <w:color w:val="000000"/>
          <w:sz w:val="16"/>
          <w:szCs w:val="16"/>
        </w:rPr>
        <w:t>el interés simple ha sido definido la Primera Sala de la Suprema Corte de Justicia de la Nación</w:t>
      </w:r>
      <w:bookmarkStart w:id="3" w:name="_ftnref4"/>
      <w:bookmarkEnd w:id="3"/>
      <w:r w:rsidRPr="00531078">
        <w:rPr>
          <w:rFonts w:ascii="Arial Nova Light" w:hAnsi="Arial Nova Light" w:cs="Arial"/>
          <w:color w:val="000000"/>
          <w:sz w:val="16"/>
          <w:szCs w:val="16"/>
        </w:rPr>
        <w:t>, en la jurisprudencia 1a./J. 38/2016 (10a.),</w:t>
      </w:r>
      <w:hyperlink r:id="rId3" w:anchor="_ftn4" w:history="1"/>
      <w:r w:rsidRPr="00531078">
        <w:rPr>
          <w:rFonts w:ascii="Arial Nova Light" w:hAnsi="Arial Nova Light" w:cs="Arial"/>
          <w:color w:val="000000"/>
          <w:sz w:val="16"/>
          <w:szCs w:val="16"/>
        </w:rPr>
        <w:t xml:space="preserve"> como un interés jurídicamente irrelevante, esto es, </w:t>
      </w:r>
      <w:r w:rsidRPr="00531078">
        <w:rPr>
          <w:rFonts w:ascii="Arial Nova Light" w:hAnsi="Arial Nova Light" w:cs="Arial"/>
          <w:i/>
          <w:iCs/>
          <w:color w:val="000000"/>
          <w:sz w:val="16"/>
          <w:szCs w:val="16"/>
        </w:rPr>
        <w:t>“como el que puede tener cualquier persona por alguna acción u omisión del Estado pero que, en caso de satisfacerse, no se traducirá en un beneficio personal para el interesado”.</w:t>
      </w:r>
      <w:r w:rsidRPr="00531078">
        <w:rPr>
          <w:rFonts w:ascii="Arial Nova Light" w:hAnsi="Arial Nova Light" w:cs="Arial"/>
          <w:sz w:val="16"/>
          <w:szCs w:val="16"/>
        </w:rPr>
        <w:t xml:space="preserve"> </w:t>
      </w:r>
      <w:r w:rsidRPr="00531078">
        <w:rPr>
          <w:rFonts w:ascii="Arial Nova Light" w:hAnsi="Arial Nova Light" w:cs="Arial"/>
          <w:i/>
          <w:iCs/>
          <w:color w:val="000000"/>
          <w:sz w:val="16"/>
          <w:szCs w:val="16"/>
        </w:rPr>
        <w:t>el interés simple ha sido definido la Primera Sala de la Suprema Corte de Justicia de la Nación, como un interés jurídicamente irrelevante, esto es, “como el que puede tener cualquier persona por alguna acción u omisión del Estado pero que, en caso de satisfacerse, no se traducirá en un beneficio personal para el interesado”.</w:t>
      </w:r>
    </w:p>
  </w:footnote>
  <w:footnote w:id="14">
    <w:p w14:paraId="72234EA5" w14:textId="77777777" w:rsidR="0060364E" w:rsidRPr="00531078" w:rsidRDefault="0060364E" w:rsidP="0060364E">
      <w:pPr>
        <w:pStyle w:val="Textonotapie"/>
        <w:jc w:val="both"/>
        <w:rPr>
          <w:rFonts w:ascii="Arial Nova Light" w:hAnsi="Arial Nova Light" w:cs="Arial"/>
          <w:sz w:val="16"/>
          <w:szCs w:val="16"/>
        </w:rPr>
      </w:pPr>
      <w:r w:rsidRPr="00531078">
        <w:rPr>
          <w:rStyle w:val="Refdenotaalpie"/>
          <w:rFonts w:ascii="Arial Nova Light" w:hAnsi="Arial Nova Light" w:cs="Arial"/>
          <w:sz w:val="16"/>
          <w:szCs w:val="16"/>
        </w:rPr>
        <w:footnoteRef/>
      </w:r>
      <w:r w:rsidRPr="00531078">
        <w:rPr>
          <w:rFonts w:ascii="Arial Nova Light" w:hAnsi="Arial Nova Light" w:cs="Arial"/>
          <w:sz w:val="16"/>
          <w:szCs w:val="16"/>
        </w:rPr>
        <w:t xml:space="preserve"> SUP-JDC-198/2018 Y SUP-JDC-199/2018, ACUMULADOS.</w:t>
      </w:r>
    </w:p>
  </w:footnote>
  <w:footnote w:id="15">
    <w:p w14:paraId="0C99C7BB" w14:textId="20F7A411" w:rsidR="00A25A0D" w:rsidRPr="00531078" w:rsidRDefault="00A25A0D" w:rsidP="00A25A0D">
      <w:pPr>
        <w:pStyle w:val="Textonotapie"/>
        <w:jc w:val="both"/>
        <w:rPr>
          <w:rFonts w:ascii="Arial Nova Light" w:hAnsi="Arial Nova Light"/>
          <w:sz w:val="16"/>
          <w:szCs w:val="16"/>
        </w:rPr>
      </w:pPr>
      <w:r w:rsidRPr="00531078">
        <w:rPr>
          <w:rStyle w:val="Refdenotaalpie"/>
          <w:rFonts w:ascii="Arial Nova Light" w:hAnsi="Arial Nova Light"/>
          <w:sz w:val="16"/>
          <w:szCs w:val="16"/>
        </w:rPr>
        <w:footnoteRef/>
      </w:r>
      <w:r w:rsidRPr="00531078">
        <w:rPr>
          <w:rFonts w:ascii="Arial Nova Light" w:hAnsi="Arial Nova Light"/>
          <w:sz w:val="16"/>
          <w:szCs w:val="16"/>
        </w:rPr>
        <w:t xml:space="preserve"> </w:t>
      </w:r>
      <w:r w:rsidRPr="00531078">
        <w:rPr>
          <w:rFonts w:ascii="Arial Nova Light" w:hAnsi="Arial Nova Light" w:cs="Arial"/>
          <w:color w:val="000000"/>
          <w:sz w:val="16"/>
          <w:szCs w:val="16"/>
        </w:rPr>
        <w:t>Jurisprudencia 7/2002.  INTERÉS JURÍDICO DIRECTO PARA PROMOVER MEDIOS DE IMPUGNACIÓN. REQUISITOS PARA SU SURTIMIENTO. Justicia Electoral. Revista del Tribunal Electoral del Poder Judicial de la Federación, Suplemento 6, Año 2003, página 39.</w:t>
      </w:r>
    </w:p>
  </w:footnote>
  <w:footnote w:id="16">
    <w:p w14:paraId="178C0745" w14:textId="6468169F" w:rsidR="00EA0A8F" w:rsidRPr="00531078" w:rsidRDefault="00EA0A8F">
      <w:pPr>
        <w:pStyle w:val="Textonotapie"/>
        <w:rPr>
          <w:rFonts w:ascii="Arial Nova Light" w:hAnsi="Arial Nova Light"/>
          <w:sz w:val="16"/>
          <w:szCs w:val="16"/>
        </w:rPr>
      </w:pPr>
      <w:r w:rsidRPr="00531078">
        <w:rPr>
          <w:rStyle w:val="Refdenotaalpie"/>
          <w:rFonts w:ascii="Arial Nova Light" w:hAnsi="Arial Nova Light"/>
          <w:sz w:val="16"/>
          <w:szCs w:val="16"/>
        </w:rPr>
        <w:footnoteRef/>
      </w:r>
      <w:r w:rsidRPr="00531078">
        <w:rPr>
          <w:rFonts w:ascii="Arial Nova Light" w:hAnsi="Arial Nova Light"/>
          <w:sz w:val="16"/>
          <w:szCs w:val="16"/>
        </w:rPr>
        <w:t xml:space="preserve"> SM-JDC-120/2021 </w:t>
      </w:r>
    </w:p>
  </w:footnote>
  <w:footnote w:id="17">
    <w:p w14:paraId="41C36AD3" w14:textId="77777777" w:rsidR="00096A39" w:rsidRPr="00531078" w:rsidRDefault="00096A39" w:rsidP="00A25A0D">
      <w:pPr>
        <w:pBdr>
          <w:top w:val="nil"/>
          <w:left w:val="nil"/>
          <w:bottom w:val="nil"/>
          <w:right w:val="nil"/>
          <w:between w:val="nil"/>
        </w:pBdr>
        <w:spacing w:after="0" w:line="240" w:lineRule="auto"/>
        <w:jc w:val="both"/>
        <w:rPr>
          <w:rFonts w:ascii="Arial Nova Light" w:eastAsia="Arial Nova" w:hAnsi="Arial Nova Light" w:cs="Arial"/>
          <w:color w:val="000000"/>
          <w:sz w:val="16"/>
          <w:szCs w:val="16"/>
        </w:rPr>
      </w:pPr>
      <w:r w:rsidRPr="00531078">
        <w:rPr>
          <w:rFonts w:ascii="Arial Nova Light" w:hAnsi="Arial Nova Light" w:cs="Arial"/>
          <w:sz w:val="16"/>
          <w:szCs w:val="16"/>
          <w:vertAlign w:val="superscript"/>
        </w:rPr>
        <w:footnoteRef/>
      </w:r>
      <w:r w:rsidRPr="00531078">
        <w:rPr>
          <w:rFonts w:ascii="Arial Nova Light" w:eastAsia="Arial Nova" w:hAnsi="Arial Nova Light" w:cs="Arial"/>
          <w:color w:val="000000"/>
          <w:sz w:val="16"/>
          <w:szCs w:val="16"/>
        </w:rPr>
        <w:t xml:space="preserve"> C</w:t>
      </w:r>
      <w:r w:rsidRPr="00531078">
        <w:rPr>
          <w:rFonts w:ascii="Arial Nova Light" w:eastAsia="Arial Nova" w:hAnsi="Arial Nova Light" w:cs="Arial"/>
          <w:color w:val="000000"/>
          <w:sz w:val="16"/>
          <w:szCs w:val="16"/>
          <w:highlight w:val="white"/>
        </w:rPr>
        <w:t>on fundamento en dispuesto en el artículo 9, párrafo 3, de la Ley de Medios.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5491" w14:textId="7F307F95" w:rsidR="00096A39" w:rsidRDefault="00A82493">
    <w:pPr>
      <w:pBdr>
        <w:top w:val="nil"/>
        <w:left w:val="nil"/>
        <w:bottom w:val="nil"/>
        <w:right w:val="nil"/>
        <w:between w:val="nil"/>
      </w:pBdr>
      <w:tabs>
        <w:tab w:val="center" w:pos="4419"/>
        <w:tab w:val="right" w:pos="8838"/>
      </w:tabs>
      <w:spacing w:after="0" w:line="240" w:lineRule="auto"/>
      <w:rPr>
        <w:color w:val="000000"/>
      </w:rPr>
    </w:pPr>
    <w:r>
      <w:rPr>
        <w:noProof/>
      </w:rPr>
      <w:pict w14:anchorId="189AA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80094" o:spid="_x0000_s2050" type="#_x0000_t136" style="position:absolute;margin-left:0;margin-top:0;width:526pt;height:143.45pt;rotation:315;z-index:-251653120;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1443A" w14:textId="48F08F6D" w:rsidR="00096A39" w:rsidRDefault="00A8249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r>
      <w:rPr>
        <w:noProof/>
      </w:rPr>
      <w:pict w14:anchorId="5E219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80095" o:spid="_x0000_s2051" type="#_x0000_t136" style="position:absolute;left:0;text-align:left;margin-left:0;margin-top:0;width:526pt;height:143.45pt;rotation:315;z-index:-251651072;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r w:rsidR="001A3EA3">
      <w:rPr>
        <w:noProof/>
      </w:rPr>
      <w:drawing>
        <wp:anchor distT="0" distB="0" distL="114300" distR="114300" simplePos="0" relativeHeight="251659264" behindDoc="0" locked="0" layoutInCell="1" hidden="0" allowOverlap="1" wp14:anchorId="384215B8" wp14:editId="7F5C3CDD">
          <wp:simplePos x="0" y="0"/>
          <wp:positionH relativeFrom="column">
            <wp:posOffset>82210</wp:posOffset>
          </wp:positionH>
          <wp:positionV relativeFrom="paragraph">
            <wp:posOffset>6985</wp:posOffset>
          </wp:positionV>
          <wp:extent cx="921224" cy="1016758"/>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4428" cy="1020294"/>
                  </a:xfrm>
                  <a:prstGeom prst="rect">
                    <a:avLst/>
                  </a:prstGeom>
                  <a:ln/>
                </pic:spPr>
              </pic:pic>
            </a:graphicData>
          </a:graphic>
          <wp14:sizeRelH relativeFrom="margin">
            <wp14:pctWidth>0</wp14:pctWidth>
          </wp14:sizeRelH>
          <wp14:sizeRelV relativeFrom="margin">
            <wp14:pctHeight>0</wp14:pctHeight>
          </wp14:sizeRelV>
        </wp:anchor>
      </w:drawing>
    </w:r>
    <w:r w:rsidR="00096A39">
      <w:rPr>
        <w:rFonts w:ascii="Arial" w:eastAsia="Arial" w:hAnsi="Arial" w:cs="Arial"/>
        <w:b/>
        <w:noProof/>
        <w:color w:val="000000"/>
        <w:sz w:val="18"/>
        <w:szCs w:val="18"/>
      </w:rPr>
      <mc:AlternateContent>
        <mc:Choice Requires="wps">
          <w:drawing>
            <wp:anchor distT="0" distB="0" distL="114300" distR="114300" simplePos="0" relativeHeight="251658240" behindDoc="0" locked="0" layoutInCell="0" hidden="0" allowOverlap="1" wp14:anchorId="4AE35F7E" wp14:editId="0FD34D1D">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B8F003D" w14:textId="2BF0096B" w:rsidR="00096A39" w:rsidRDefault="00096A39">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00EF0FEB" w:rsidRPr="00EF0FEB">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4AE35F7E" id="Rectángulo 1" o:spid="_x0000_s1026" style="position:absolute;left:0;text-align:left;margin-left:0;margin-top:0;width:60pt;height:70.5pt;z-index:251658240;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B8F003D" w14:textId="2BF0096B" w:rsidR="00096A39" w:rsidRDefault="00096A39">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00EF0FEB" w:rsidRPr="00EF0FEB">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096A39">
      <w:rPr>
        <w:rFonts w:ascii="Arial" w:eastAsia="Arial" w:hAnsi="Arial" w:cs="Arial"/>
        <w:b/>
        <w:color w:val="000000"/>
        <w:sz w:val="18"/>
        <w:szCs w:val="18"/>
      </w:rPr>
      <w:t xml:space="preserve">                                                               </w:t>
    </w:r>
  </w:p>
  <w:p w14:paraId="49337023" w14:textId="77777777" w:rsidR="00096A39" w:rsidRDefault="00096A39">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p>
  <w:p w14:paraId="5561CD59" w14:textId="77777777" w:rsidR="00096A39" w:rsidRDefault="00096A39">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0827" w14:textId="31A6C3F0" w:rsidR="00096A39" w:rsidRDefault="00A82493">
    <w:pPr>
      <w:pBdr>
        <w:top w:val="nil"/>
        <w:left w:val="nil"/>
        <w:bottom w:val="nil"/>
        <w:right w:val="nil"/>
        <w:between w:val="nil"/>
      </w:pBdr>
      <w:tabs>
        <w:tab w:val="center" w:pos="4419"/>
        <w:tab w:val="right" w:pos="8838"/>
      </w:tabs>
      <w:spacing w:after="0" w:line="240" w:lineRule="auto"/>
      <w:rPr>
        <w:color w:val="000000"/>
      </w:rPr>
    </w:pPr>
    <w:r>
      <w:rPr>
        <w:noProof/>
      </w:rPr>
      <w:pict w14:anchorId="5FE36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80093" o:spid="_x0000_s2049" type="#_x0000_t136" style="position:absolute;margin-left:0;margin-top:0;width:526pt;height:143.45pt;rotation:315;z-index:-251655168;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8ED"/>
    <w:multiLevelType w:val="multilevel"/>
    <w:tmpl w:val="54407B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75430E"/>
    <w:multiLevelType w:val="multilevel"/>
    <w:tmpl w:val="6152F96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9154F1"/>
    <w:multiLevelType w:val="multilevel"/>
    <w:tmpl w:val="6AE07DBC"/>
    <w:lvl w:ilvl="0">
      <w:start w:val="1"/>
      <w:numFmt w:val="upperRoman"/>
      <w:lvlText w:val="%1."/>
      <w:lvlJc w:val="left"/>
      <w:pPr>
        <w:ind w:left="108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D66929"/>
    <w:multiLevelType w:val="hybridMultilevel"/>
    <w:tmpl w:val="4C7C9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B91AD1"/>
    <w:multiLevelType w:val="multilevel"/>
    <w:tmpl w:val="12A49B10"/>
    <w:lvl w:ilvl="0">
      <w:start w:val="1"/>
      <w:numFmt w:val="upperRoman"/>
      <w:lvlText w:val="%1."/>
      <w:lvlJc w:val="left"/>
      <w:pPr>
        <w:ind w:left="108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AF6415"/>
    <w:multiLevelType w:val="multilevel"/>
    <w:tmpl w:val="7130C5F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9BD0E83"/>
    <w:multiLevelType w:val="multilevel"/>
    <w:tmpl w:val="F42A76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2F3C92"/>
    <w:multiLevelType w:val="hybridMultilevel"/>
    <w:tmpl w:val="B6B6FF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C04C25"/>
    <w:multiLevelType w:val="hybridMultilevel"/>
    <w:tmpl w:val="F69C821E"/>
    <w:lvl w:ilvl="0" w:tplc="080A0001">
      <w:start w:val="1"/>
      <w:numFmt w:val="bullet"/>
      <w:lvlText w:val=""/>
      <w:lvlJc w:val="left"/>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6"/>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40"/>
    <w:rsid w:val="00011F1D"/>
    <w:rsid w:val="00015746"/>
    <w:rsid w:val="000175D0"/>
    <w:rsid w:val="00022BCC"/>
    <w:rsid w:val="00024494"/>
    <w:rsid w:val="00032650"/>
    <w:rsid w:val="00036BD4"/>
    <w:rsid w:val="00037649"/>
    <w:rsid w:val="00046A34"/>
    <w:rsid w:val="00050DAA"/>
    <w:rsid w:val="0005484E"/>
    <w:rsid w:val="00062175"/>
    <w:rsid w:val="00064CC3"/>
    <w:rsid w:val="00073FE5"/>
    <w:rsid w:val="0007662D"/>
    <w:rsid w:val="00096A39"/>
    <w:rsid w:val="000A0AD8"/>
    <w:rsid w:val="000A5719"/>
    <w:rsid w:val="000B13CE"/>
    <w:rsid w:val="000B49C2"/>
    <w:rsid w:val="000B6BE5"/>
    <w:rsid w:val="000C2A2C"/>
    <w:rsid w:val="000C3C4E"/>
    <w:rsid w:val="000C549E"/>
    <w:rsid w:val="000C5A16"/>
    <w:rsid w:val="000D0B7B"/>
    <w:rsid w:val="000D0F4E"/>
    <w:rsid w:val="000D2B9E"/>
    <w:rsid w:val="000D5B3B"/>
    <w:rsid w:val="000E7F71"/>
    <w:rsid w:val="000F3616"/>
    <w:rsid w:val="0010436F"/>
    <w:rsid w:val="00107DF3"/>
    <w:rsid w:val="001106C5"/>
    <w:rsid w:val="00116FD9"/>
    <w:rsid w:val="00121822"/>
    <w:rsid w:val="00134F82"/>
    <w:rsid w:val="00140578"/>
    <w:rsid w:val="00145F59"/>
    <w:rsid w:val="0016086D"/>
    <w:rsid w:val="00161A27"/>
    <w:rsid w:val="001724D1"/>
    <w:rsid w:val="001866C5"/>
    <w:rsid w:val="00190FD9"/>
    <w:rsid w:val="00191222"/>
    <w:rsid w:val="001A3EA3"/>
    <w:rsid w:val="001A579A"/>
    <w:rsid w:val="001B0F58"/>
    <w:rsid w:val="001B31CC"/>
    <w:rsid w:val="001C00CA"/>
    <w:rsid w:val="001C07EF"/>
    <w:rsid w:val="001C22F7"/>
    <w:rsid w:val="001D310D"/>
    <w:rsid w:val="001E4BF8"/>
    <w:rsid w:val="001E507F"/>
    <w:rsid w:val="001F0DC3"/>
    <w:rsid w:val="001F55CE"/>
    <w:rsid w:val="00204A19"/>
    <w:rsid w:val="00204C8C"/>
    <w:rsid w:val="0021055F"/>
    <w:rsid w:val="002226C6"/>
    <w:rsid w:val="00227532"/>
    <w:rsid w:val="0023590F"/>
    <w:rsid w:val="00236D5D"/>
    <w:rsid w:val="0025207A"/>
    <w:rsid w:val="00253D66"/>
    <w:rsid w:val="002603D4"/>
    <w:rsid w:val="00260C95"/>
    <w:rsid w:val="00264690"/>
    <w:rsid w:val="00270B01"/>
    <w:rsid w:val="002852DF"/>
    <w:rsid w:val="00287213"/>
    <w:rsid w:val="00295AD9"/>
    <w:rsid w:val="002A046C"/>
    <w:rsid w:val="002A451D"/>
    <w:rsid w:val="002A456D"/>
    <w:rsid w:val="002A4AE4"/>
    <w:rsid w:val="002A7AFC"/>
    <w:rsid w:val="002B43DE"/>
    <w:rsid w:val="002D13BC"/>
    <w:rsid w:val="002D6CBB"/>
    <w:rsid w:val="002E5894"/>
    <w:rsid w:val="002E72C5"/>
    <w:rsid w:val="002F7129"/>
    <w:rsid w:val="00302602"/>
    <w:rsid w:val="00302953"/>
    <w:rsid w:val="0030501E"/>
    <w:rsid w:val="003137F4"/>
    <w:rsid w:val="00343C61"/>
    <w:rsid w:val="0034668A"/>
    <w:rsid w:val="003558A2"/>
    <w:rsid w:val="00355C45"/>
    <w:rsid w:val="00357BC5"/>
    <w:rsid w:val="00374257"/>
    <w:rsid w:val="0038028F"/>
    <w:rsid w:val="00381365"/>
    <w:rsid w:val="0038140F"/>
    <w:rsid w:val="00386C7A"/>
    <w:rsid w:val="003B230E"/>
    <w:rsid w:val="003B2F51"/>
    <w:rsid w:val="003B31E2"/>
    <w:rsid w:val="003B728D"/>
    <w:rsid w:val="003C103C"/>
    <w:rsid w:val="003C768D"/>
    <w:rsid w:val="003D4C8F"/>
    <w:rsid w:val="003E2AA4"/>
    <w:rsid w:val="003E5C91"/>
    <w:rsid w:val="003E6A01"/>
    <w:rsid w:val="00421252"/>
    <w:rsid w:val="0043089B"/>
    <w:rsid w:val="00435EDC"/>
    <w:rsid w:val="00442959"/>
    <w:rsid w:val="0045756F"/>
    <w:rsid w:val="0046432B"/>
    <w:rsid w:val="00472D78"/>
    <w:rsid w:val="00472EBE"/>
    <w:rsid w:val="004C33C7"/>
    <w:rsid w:val="004D12D1"/>
    <w:rsid w:val="004D7D90"/>
    <w:rsid w:val="004E3972"/>
    <w:rsid w:val="004E7AB7"/>
    <w:rsid w:val="005234B9"/>
    <w:rsid w:val="00531078"/>
    <w:rsid w:val="00537512"/>
    <w:rsid w:val="00540522"/>
    <w:rsid w:val="0054241D"/>
    <w:rsid w:val="0055007E"/>
    <w:rsid w:val="00552B1D"/>
    <w:rsid w:val="0055456C"/>
    <w:rsid w:val="00562F71"/>
    <w:rsid w:val="005755CB"/>
    <w:rsid w:val="00577BFD"/>
    <w:rsid w:val="00581175"/>
    <w:rsid w:val="0058445B"/>
    <w:rsid w:val="00597515"/>
    <w:rsid w:val="005A44F0"/>
    <w:rsid w:val="005B4D2F"/>
    <w:rsid w:val="005B66DE"/>
    <w:rsid w:val="005B6952"/>
    <w:rsid w:val="005C6AA3"/>
    <w:rsid w:val="005D1A88"/>
    <w:rsid w:val="005D64A3"/>
    <w:rsid w:val="005E5970"/>
    <w:rsid w:val="005E5AFC"/>
    <w:rsid w:val="005F2FBA"/>
    <w:rsid w:val="005F40DC"/>
    <w:rsid w:val="006017F4"/>
    <w:rsid w:val="0060364E"/>
    <w:rsid w:val="006100DB"/>
    <w:rsid w:val="0061181B"/>
    <w:rsid w:val="00612A61"/>
    <w:rsid w:val="0062428B"/>
    <w:rsid w:val="006308B4"/>
    <w:rsid w:val="00634F51"/>
    <w:rsid w:val="006453F6"/>
    <w:rsid w:val="0064662C"/>
    <w:rsid w:val="00652708"/>
    <w:rsid w:val="006703B7"/>
    <w:rsid w:val="00671F09"/>
    <w:rsid w:val="00683B11"/>
    <w:rsid w:val="006907FE"/>
    <w:rsid w:val="00694B46"/>
    <w:rsid w:val="006A1D28"/>
    <w:rsid w:val="006C3808"/>
    <w:rsid w:val="006C6687"/>
    <w:rsid w:val="006D35DC"/>
    <w:rsid w:val="006E4B5F"/>
    <w:rsid w:val="006E4DB6"/>
    <w:rsid w:val="006E737B"/>
    <w:rsid w:val="006E7990"/>
    <w:rsid w:val="006E7F3D"/>
    <w:rsid w:val="006F1846"/>
    <w:rsid w:val="006F3A75"/>
    <w:rsid w:val="006F781A"/>
    <w:rsid w:val="007049DD"/>
    <w:rsid w:val="00705BB0"/>
    <w:rsid w:val="00711343"/>
    <w:rsid w:val="00712EDC"/>
    <w:rsid w:val="00731C46"/>
    <w:rsid w:val="00743875"/>
    <w:rsid w:val="00747C95"/>
    <w:rsid w:val="00754411"/>
    <w:rsid w:val="00761FE0"/>
    <w:rsid w:val="007633FA"/>
    <w:rsid w:val="00772669"/>
    <w:rsid w:val="0077296A"/>
    <w:rsid w:val="007815DE"/>
    <w:rsid w:val="00785BF7"/>
    <w:rsid w:val="00795A95"/>
    <w:rsid w:val="007A0819"/>
    <w:rsid w:val="007A321F"/>
    <w:rsid w:val="007B117C"/>
    <w:rsid w:val="007C079D"/>
    <w:rsid w:val="007C483E"/>
    <w:rsid w:val="007D0FD8"/>
    <w:rsid w:val="007D1B8C"/>
    <w:rsid w:val="007D2243"/>
    <w:rsid w:val="007E0250"/>
    <w:rsid w:val="007E0F28"/>
    <w:rsid w:val="007E2F45"/>
    <w:rsid w:val="00806E7E"/>
    <w:rsid w:val="00815C4A"/>
    <w:rsid w:val="008247DE"/>
    <w:rsid w:val="00824FCB"/>
    <w:rsid w:val="00825D5F"/>
    <w:rsid w:val="00827A95"/>
    <w:rsid w:val="008344E1"/>
    <w:rsid w:val="008377AC"/>
    <w:rsid w:val="00853101"/>
    <w:rsid w:val="008604F1"/>
    <w:rsid w:val="00865BD9"/>
    <w:rsid w:val="008663DF"/>
    <w:rsid w:val="00881BB6"/>
    <w:rsid w:val="00884557"/>
    <w:rsid w:val="0089051A"/>
    <w:rsid w:val="00893C12"/>
    <w:rsid w:val="00896223"/>
    <w:rsid w:val="008A21D2"/>
    <w:rsid w:val="008A4C4B"/>
    <w:rsid w:val="008B663E"/>
    <w:rsid w:val="008B7118"/>
    <w:rsid w:val="008C1DC0"/>
    <w:rsid w:val="008D5A03"/>
    <w:rsid w:val="008D7905"/>
    <w:rsid w:val="008E6719"/>
    <w:rsid w:val="008F0A04"/>
    <w:rsid w:val="008F5339"/>
    <w:rsid w:val="008F7182"/>
    <w:rsid w:val="009017A9"/>
    <w:rsid w:val="009047A2"/>
    <w:rsid w:val="00923556"/>
    <w:rsid w:val="00950A13"/>
    <w:rsid w:val="00966DCC"/>
    <w:rsid w:val="009709E0"/>
    <w:rsid w:val="00995955"/>
    <w:rsid w:val="009A25F0"/>
    <w:rsid w:val="009A4338"/>
    <w:rsid w:val="009D0961"/>
    <w:rsid w:val="009D0E9A"/>
    <w:rsid w:val="009D1D46"/>
    <w:rsid w:val="009F311E"/>
    <w:rsid w:val="009F6EEE"/>
    <w:rsid w:val="009F74E8"/>
    <w:rsid w:val="00A07E0C"/>
    <w:rsid w:val="00A10D38"/>
    <w:rsid w:val="00A13195"/>
    <w:rsid w:val="00A13444"/>
    <w:rsid w:val="00A20C26"/>
    <w:rsid w:val="00A2458E"/>
    <w:rsid w:val="00A25A0D"/>
    <w:rsid w:val="00A50755"/>
    <w:rsid w:val="00A51A11"/>
    <w:rsid w:val="00A55A8F"/>
    <w:rsid w:val="00A560D5"/>
    <w:rsid w:val="00A622CF"/>
    <w:rsid w:val="00A6288D"/>
    <w:rsid w:val="00A643E3"/>
    <w:rsid w:val="00A6482E"/>
    <w:rsid w:val="00A64A74"/>
    <w:rsid w:val="00A64D89"/>
    <w:rsid w:val="00A67D84"/>
    <w:rsid w:val="00A82493"/>
    <w:rsid w:val="00A83C53"/>
    <w:rsid w:val="00AA3FA6"/>
    <w:rsid w:val="00AA444E"/>
    <w:rsid w:val="00AA711A"/>
    <w:rsid w:val="00AA75D9"/>
    <w:rsid w:val="00AE41A3"/>
    <w:rsid w:val="00AF0E7A"/>
    <w:rsid w:val="00B070BA"/>
    <w:rsid w:val="00B12BDA"/>
    <w:rsid w:val="00B1504A"/>
    <w:rsid w:val="00B16785"/>
    <w:rsid w:val="00B2436A"/>
    <w:rsid w:val="00B25C95"/>
    <w:rsid w:val="00B348A1"/>
    <w:rsid w:val="00B437FC"/>
    <w:rsid w:val="00B44840"/>
    <w:rsid w:val="00B51411"/>
    <w:rsid w:val="00B51EF3"/>
    <w:rsid w:val="00B56261"/>
    <w:rsid w:val="00B56951"/>
    <w:rsid w:val="00B5798E"/>
    <w:rsid w:val="00B70B10"/>
    <w:rsid w:val="00B76AB1"/>
    <w:rsid w:val="00B8120E"/>
    <w:rsid w:val="00B81338"/>
    <w:rsid w:val="00B82643"/>
    <w:rsid w:val="00B83039"/>
    <w:rsid w:val="00B90F29"/>
    <w:rsid w:val="00B92EBD"/>
    <w:rsid w:val="00B94D34"/>
    <w:rsid w:val="00B964E6"/>
    <w:rsid w:val="00BA677C"/>
    <w:rsid w:val="00BA70F6"/>
    <w:rsid w:val="00BB74D7"/>
    <w:rsid w:val="00BC029E"/>
    <w:rsid w:val="00BD1F99"/>
    <w:rsid w:val="00BD74F8"/>
    <w:rsid w:val="00BE46DB"/>
    <w:rsid w:val="00BE6EDF"/>
    <w:rsid w:val="00BF43BD"/>
    <w:rsid w:val="00BF7608"/>
    <w:rsid w:val="00C00C14"/>
    <w:rsid w:val="00C00D1E"/>
    <w:rsid w:val="00C06136"/>
    <w:rsid w:val="00C1321D"/>
    <w:rsid w:val="00C24F25"/>
    <w:rsid w:val="00C26B8A"/>
    <w:rsid w:val="00C31551"/>
    <w:rsid w:val="00C322F7"/>
    <w:rsid w:val="00C356BD"/>
    <w:rsid w:val="00C4258D"/>
    <w:rsid w:val="00C55EEA"/>
    <w:rsid w:val="00C652BF"/>
    <w:rsid w:val="00C75CAF"/>
    <w:rsid w:val="00C806C5"/>
    <w:rsid w:val="00C807E0"/>
    <w:rsid w:val="00C97A43"/>
    <w:rsid w:val="00CA0892"/>
    <w:rsid w:val="00CA10F9"/>
    <w:rsid w:val="00CA5DC4"/>
    <w:rsid w:val="00CA6CE5"/>
    <w:rsid w:val="00CB6273"/>
    <w:rsid w:val="00CB7D34"/>
    <w:rsid w:val="00CC1C56"/>
    <w:rsid w:val="00CC48D9"/>
    <w:rsid w:val="00CC5281"/>
    <w:rsid w:val="00CC5AEA"/>
    <w:rsid w:val="00CC73F5"/>
    <w:rsid w:val="00CD3066"/>
    <w:rsid w:val="00CE13F6"/>
    <w:rsid w:val="00CE1753"/>
    <w:rsid w:val="00CE53FC"/>
    <w:rsid w:val="00CE68CB"/>
    <w:rsid w:val="00D228CD"/>
    <w:rsid w:val="00D247EA"/>
    <w:rsid w:val="00D406E7"/>
    <w:rsid w:val="00D43398"/>
    <w:rsid w:val="00D43F27"/>
    <w:rsid w:val="00D55E7C"/>
    <w:rsid w:val="00D560C2"/>
    <w:rsid w:val="00D668F7"/>
    <w:rsid w:val="00D674EF"/>
    <w:rsid w:val="00D73366"/>
    <w:rsid w:val="00D74D72"/>
    <w:rsid w:val="00D832B8"/>
    <w:rsid w:val="00D84B87"/>
    <w:rsid w:val="00D916D7"/>
    <w:rsid w:val="00D9282A"/>
    <w:rsid w:val="00D97297"/>
    <w:rsid w:val="00DA79B5"/>
    <w:rsid w:val="00DB00D1"/>
    <w:rsid w:val="00DB3A72"/>
    <w:rsid w:val="00DB4A0C"/>
    <w:rsid w:val="00DC5210"/>
    <w:rsid w:val="00DC5E65"/>
    <w:rsid w:val="00DD09F0"/>
    <w:rsid w:val="00DD1638"/>
    <w:rsid w:val="00E03960"/>
    <w:rsid w:val="00E400BD"/>
    <w:rsid w:val="00E56725"/>
    <w:rsid w:val="00E7275A"/>
    <w:rsid w:val="00E72A77"/>
    <w:rsid w:val="00E80C8C"/>
    <w:rsid w:val="00E84118"/>
    <w:rsid w:val="00E902F2"/>
    <w:rsid w:val="00E95A6E"/>
    <w:rsid w:val="00EA0A8F"/>
    <w:rsid w:val="00EA65B8"/>
    <w:rsid w:val="00EB3CF1"/>
    <w:rsid w:val="00EB6825"/>
    <w:rsid w:val="00EC0507"/>
    <w:rsid w:val="00EC0645"/>
    <w:rsid w:val="00EC4063"/>
    <w:rsid w:val="00EC4995"/>
    <w:rsid w:val="00ED1A1F"/>
    <w:rsid w:val="00ED2353"/>
    <w:rsid w:val="00ED275A"/>
    <w:rsid w:val="00ED39F5"/>
    <w:rsid w:val="00ED42B8"/>
    <w:rsid w:val="00EE3646"/>
    <w:rsid w:val="00EE4ACD"/>
    <w:rsid w:val="00EF0FEB"/>
    <w:rsid w:val="00EF4C52"/>
    <w:rsid w:val="00EF5068"/>
    <w:rsid w:val="00EF5D64"/>
    <w:rsid w:val="00F06656"/>
    <w:rsid w:val="00F1501D"/>
    <w:rsid w:val="00F15FD1"/>
    <w:rsid w:val="00F22DA0"/>
    <w:rsid w:val="00F231B1"/>
    <w:rsid w:val="00F24CE0"/>
    <w:rsid w:val="00F45233"/>
    <w:rsid w:val="00F53924"/>
    <w:rsid w:val="00F5608C"/>
    <w:rsid w:val="00F60E0B"/>
    <w:rsid w:val="00F62075"/>
    <w:rsid w:val="00F717E5"/>
    <w:rsid w:val="00F7336E"/>
    <w:rsid w:val="00F77E3C"/>
    <w:rsid w:val="00F82F3F"/>
    <w:rsid w:val="00F90711"/>
    <w:rsid w:val="00F917E6"/>
    <w:rsid w:val="00F96383"/>
    <w:rsid w:val="00FC7D4A"/>
    <w:rsid w:val="00FD64B9"/>
    <w:rsid w:val="00FE012C"/>
    <w:rsid w:val="00FF3A06"/>
    <w:rsid w:val="00FF4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46FD9F"/>
  <w15:docId w15:val="{0A6A53E1-1FE5-47B8-B6EB-32EBC13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40" w:after="0"/>
      <w:outlineLvl w:val="3"/>
    </w:pPr>
    <w:rPr>
      <w:i/>
      <w:color w:val="2F5496"/>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A622CF"/>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A622CF"/>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Ref"/>
    <w:basedOn w:val="Fuentedeprrafopredeter"/>
    <w:link w:val="4GChar"/>
    <w:uiPriority w:val="99"/>
    <w:unhideWhenUsed/>
    <w:qFormat/>
    <w:rsid w:val="00A622CF"/>
    <w:rPr>
      <w:vertAlign w:val="superscript"/>
    </w:rPr>
  </w:style>
  <w:style w:type="paragraph" w:styleId="Prrafodelista">
    <w:name w:val="List Paragraph"/>
    <w:aliases w:val="CNBV Parrafo1,Párrafo de lista1,Cita texto,Parrafo 1,Lista multicolor - Énfasis 11,Lista vistosa - Énfasis 11,Cuadrícula media 1 - Énfasis 21,List Paragraph-Thesis,Footnote,Listas,Cuadrícula media 1 - Énfasis 211,List Paragraph1"/>
    <w:basedOn w:val="Normal"/>
    <w:link w:val="PrrafodelistaCar"/>
    <w:uiPriority w:val="34"/>
    <w:qFormat/>
    <w:rsid w:val="00A622CF"/>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1E4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1E4BF8"/>
    <w:rPr>
      <w:rFonts w:ascii="Times New Roman" w:eastAsia="Times New Roman" w:hAnsi="Times New Roman" w:cs="Times New Roman"/>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5A03"/>
    <w:pPr>
      <w:spacing w:after="0" w:line="240" w:lineRule="auto"/>
      <w:jc w:val="both"/>
    </w:pPr>
    <w:rPr>
      <w:vertAlign w:val="superscript"/>
    </w:rPr>
  </w:style>
  <w:style w:type="character" w:styleId="Hipervnculo">
    <w:name w:val="Hyperlink"/>
    <w:basedOn w:val="Fuentedeprrafopredeter"/>
    <w:uiPriority w:val="99"/>
    <w:unhideWhenUsed/>
    <w:rsid w:val="00EE3646"/>
    <w:rPr>
      <w:color w:val="0000FF" w:themeColor="hyperlink"/>
      <w:u w:val="single"/>
    </w:rPr>
  </w:style>
  <w:style w:type="character" w:customStyle="1" w:styleId="UnresolvedMention">
    <w:name w:val="Unresolved Mention"/>
    <w:basedOn w:val="Fuentedeprrafopredeter"/>
    <w:uiPriority w:val="99"/>
    <w:semiHidden/>
    <w:unhideWhenUsed/>
    <w:rsid w:val="00EE3646"/>
    <w:rPr>
      <w:color w:val="605E5C"/>
      <w:shd w:val="clear" w:color="auto" w:fill="E1DFDD"/>
    </w:rPr>
  </w:style>
  <w:style w:type="paragraph" w:customStyle="1" w:styleId="Estilo">
    <w:name w:val="Estilo"/>
    <w:basedOn w:val="Sinespaciado"/>
    <w:link w:val="EstiloCar"/>
    <w:qFormat/>
    <w:rsid w:val="00442959"/>
    <w:pPr>
      <w:jc w:val="both"/>
    </w:pPr>
    <w:rPr>
      <w:rFonts w:ascii="Arial" w:eastAsiaTheme="minorHAnsi" w:hAnsi="Arial" w:cstheme="minorBidi"/>
      <w:sz w:val="24"/>
      <w:lang w:eastAsia="en-US"/>
    </w:rPr>
  </w:style>
  <w:style w:type="character" w:customStyle="1" w:styleId="EstiloCar">
    <w:name w:val="Estilo Car"/>
    <w:basedOn w:val="Fuentedeprrafopredeter"/>
    <w:link w:val="Estilo"/>
    <w:rsid w:val="00442959"/>
    <w:rPr>
      <w:rFonts w:ascii="Arial" w:eastAsiaTheme="minorHAnsi" w:hAnsi="Arial" w:cstheme="minorBidi"/>
      <w:sz w:val="24"/>
      <w:lang w:eastAsia="en-US"/>
    </w:rPr>
  </w:style>
  <w:style w:type="paragraph" w:styleId="Sinespaciado">
    <w:name w:val="No Spacing"/>
    <w:uiPriority w:val="1"/>
    <w:qFormat/>
    <w:rsid w:val="00442959"/>
    <w:pPr>
      <w:spacing w:after="0" w:line="240" w:lineRule="auto"/>
    </w:p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A1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7911">
      <w:bodyDiv w:val="1"/>
      <w:marLeft w:val="0"/>
      <w:marRight w:val="0"/>
      <w:marTop w:val="0"/>
      <w:marBottom w:val="0"/>
      <w:divBdr>
        <w:top w:val="none" w:sz="0" w:space="0" w:color="auto"/>
        <w:left w:val="none" w:sz="0" w:space="0" w:color="auto"/>
        <w:bottom w:val="none" w:sz="0" w:space="0" w:color="auto"/>
        <w:right w:val="none" w:sz="0" w:space="0" w:color="auto"/>
      </w:divBdr>
    </w:div>
    <w:div w:id="261424108">
      <w:bodyDiv w:val="1"/>
      <w:marLeft w:val="0"/>
      <w:marRight w:val="0"/>
      <w:marTop w:val="0"/>
      <w:marBottom w:val="0"/>
      <w:divBdr>
        <w:top w:val="none" w:sz="0" w:space="0" w:color="auto"/>
        <w:left w:val="none" w:sz="0" w:space="0" w:color="auto"/>
        <w:bottom w:val="none" w:sz="0" w:space="0" w:color="auto"/>
        <w:right w:val="none" w:sz="0" w:space="0" w:color="auto"/>
      </w:divBdr>
    </w:div>
    <w:div w:id="383990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colecciones/sentencias/html/SUP/2018/JDC/SUP-JDC-00236-2018.htm" TargetMode="External"/><Relationship Id="rId2" Type="http://schemas.openxmlformats.org/officeDocument/2006/relationships/hyperlink" Target="https://www.te.gob.mx/colecciones/sentencias/html/SUP/2018/JDC/SUP-JDC-00236-2018.htm" TargetMode="External"/><Relationship Id="rId1" Type="http://schemas.openxmlformats.org/officeDocument/2006/relationships/hyperlink" Target="https://mexico.justia.com/federales/jurisprudencias-tesis/tribunal-electoral/jurisprudencia-7-20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EFDA-F578-4976-867A-3227F9AF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2921</Words>
  <Characters>16071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NESTOR ENRIQUE RIVERA LOPEZ</dc:creator>
  <cp:lastModifiedBy>JESUS OCIEL BAENA SAUCEDO</cp:lastModifiedBy>
  <cp:revision>2</cp:revision>
  <cp:lastPrinted>2022-01-20T20:00:00Z</cp:lastPrinted>
  <dcterms:created xsi:type="dcterms:W3CDTF">2022-01-21T04:08:00Z</dcterms:created>
  <dcterms:modified xsi:type="dcterms:W3CDTF">2022-01-21T04:08:00Z</dcterms:modified>
</cp:coreProperties>
</file>